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40" w:after="120"/>
        <w:ind w:firstLine="0" w:left="0"/>
        <w:jc w:val="center"/>
      </w:pPr>
      <w:r>
        <w:rPr>
          <w:rFonts w:ascii="Times New Roman" w:hAnsi="Times New Roman" w:eastAsia="Times New Roman" w:cs="Times New Roman"/>
          <w:b/>
          <w:sz w:val="28"/>
        </w:rPr>
        <w:t>ОПЛАТА, ВОЗВРАТ И ПОДДЕРЖКА</w:t>
      </w:r>
    </w:p>
    <w:p>
      <w:pPr>
        <w:spacing w:before="0" w:after="0"/>
        <w:ind w:firstLine="0" w:left="0"/>
        <w:jc w:val="left"/>
      </w:pPr>
      <w:r>
        <w:rPr>
          <w:rFonts w:ascii="Times New Roman" w:hAnsi="Times New Roman" w:eastAsia="Times New Roman" w:cs="Times New Roman"/>
          <w:b w:val="0"/>
          <w:color w:val="505A55"/>
          <w:sz w:val="22"/>
        </w:rPr>
        <w:t>Коротко о том, как устроены платежи в «Тендике». Юридически обязательные условия — в договоре-оферте; при расхождении настоящей страницы и оферты применяется оферта.</w:t>
      </w:r>
    </w:p>
    <w:p>
      <w:pPr>
        <w:spacing w:before="0" w:after="0"/>
        <w:ind w:firstLine="0" w:left="0"/>
        <w:jc w:val="left"/>
      </w:pPr>
      <w:r>
        <w:rPr>
          <w:rFonts w:ascii="Times New Roman" w:hAnsi="Times New Roman" w:eastAsia="Times New Roman" w:cs="Times New Roman"/>
          <w:b w:val="0"/>
          <w:color w:val="505A55"/>
          <w:sz w:val="22"/>
        </w:rPr>
        <w:t>Редакция № 9 от 13 октября 2026 г. Действует с момента размещения на Сайте. Прежние редакции хранятся Исполнителем и предоставляются по запросу.</w:t>
      </w:r>
    </w:p>
    <w:p>
      <w:pPr>
        <w:spacing w:before="240" w:after="120"/>
        <w:ind w:firstLine="0" w:left="0"/>
        <w:jc w:val="left"/>
      </w:pPr>
      <w:r>
        <w:rPr>
          <w:rFonts w:ascii="Times New Roman" w:hAnsi="Times New Roman" w:eastAsia="Times New Roman" w:cs="Times New Roman"/>
          <w:b/>
          <w:sz w:val="24"/>
        </w:rPr>
        <w:t>Что вы покупаете</w:t>
      </w:r>
    </w:p>
    <w:p>
      <w:pPr>
        <w:spacing w:before="0" w:after="0"/>
        <w:ind w:firstLine="709" w:left="0"/>
      </w:pPr>
      <w:r>
        <w:rPr>
          <w:rFonts w:ascii="Times New Roman" w:hAnsi="Times New Roman" w:eastAsia="Times New Roman" w:cs="Times New Roman"/>
          <w:b w:val="0"/>
          <w:sz w:val="24"/>
        </w:rPr>
        <w:t>Доступ к онлайн-сервису «Тендик»: пакет позиций (в оферте — Ступень, а количество позиций на период — Пул) для просчёта закупок и работы с ними на период 30 календарных дней либо на 12 таких периодов подряд (360 дней) вперёд; календарным годом это не является. Единица счёта — позиция спецификации закупки. Списывается только та позиция, по которой в отчёт попала ссылка на источник с ценой или подтверждённая альтернатива: позиция без цены не списывается, первый повторный поиск по позиции бесплатен.</w:t>
      </w:r>
    </w:p>
    <w:p>
      <w:pPr>
        <w:spacing w:before="0" w:after="0"/>
        <w:ind w:firstLine="709" w:left="0"/>
      </w:pPr>
      <w:r>
        <w:rPr>
          <w:rFonts w:ascii="Times New Roman" w:hAnsi="Times New Roman" w:eastAsia="Times New Roman" w:cs="Times New Roman"/>
          <w:b w:val="0"/>
          <w:sz w:val="24"/>
        </w:rPr>
        <w:t>В пакет входит работа с закупкой целиком, и отдельно она не оплачивается: этапы закупки и решение с согласованием, команда с задачами и обсуждением, поиск закупок и карточки, просчёт позиций с расчётом себестоимости и маржи, а также работа с поставщиками — подключение вашего почтового ящика, отправка запросов цен от вашего имени, разбор ответов и вложений, книга поставщиков и загрузка собственного прайса. Позиция, закрытая ценой из вашего прайса или ценой из ответа поставщика, не списывается; справочные цены контрактов ЕИС не списываются тоже.</w:t>
      </w:r>
    </w:p>
    <w:p>
      <w:pPr>
        <w:spacing w:before="0" w:after="0"/>
        <w:ind w:firstLine="709" w:left="0"/>
      </w:pPr>
      <w:r>
        <w:rPr>
          <w:rFonts w:ascii="Times New Roman" w:hAnsi="Times New Roman" w:eastAsia="Times New Roman" w:cs="Times New Roman"/>
          <w:b w:val="0"/>
          <w:sz w:val="24"/>
        </w:rPr>
        <w:t>Бесплатно и без оплаты: поиск и карточки закупок — без регистрации; просчёт одной закупки, до 15 позиций, один раз, и запросы цен поставщикам по ней — каждому зарегистрированному пользователю без оплаченного пакета. Ознакомительный доступ — вся работа с закупками и 50 позиций на 7 дней — открывается по решению исполнителя, однократно на одну организацию (один идентификационный номер налогоплательщика) и на одного пользователя. На пробных и ознакомительных позициях сервис читает документы не более чем по 2 (двум) закупкам в сутки.</w:t>
      </w:r>
    </w:p>
    <w:p>
      <w:pPr>
        <w:spacing w:before="0" w:after="0"/>
        <w:ind w:firstLine="709" w:left="0"/>
      </w:pPr>
      <w:r>
        <w:rPr>
          <w:rFonts w:ascii="Times New Roman" w:hAnsi="Times New Roman" w:eastAsia="Times New Roman" w:cs="Times New Roman"/>
          <w:b w:val="0"/>
          <w:sz w:val="24"/>
        </w:rPr>
        <w:t>Пакет «Старт» — 50 позиций за период: вход для одного тендерщика, позиции сверх пакета докупаются по 150 руб. за позицию.</w:t>
      </w:r>
    </w:p>
    <w:p>
      <w:pPr>
        <w:spacing w:before="0" w:after="0"/>
        <w:ind w:firstLine="709" w:left="0"/>
      </w:pPr>
      <w:r>
        <w:rPr>
          <w:rFonts w:ascii="Times New Roman" w:hAnsi="Times New Roman" w:eastAsia="Times New Roman" w:cs="Times New Roman"/>
          <w:b w:val="0"/>
          <w:sz w:val="24"/>
        </w:rPr>
        <w:t>Без пакета можно просчитать отдельную закупку: кнопка на её странице покупает ровно недостающие позиции по 150 руб. за позицию, от одной. Такие позиции не сгорают ни по сроку, ни при оплате пакета — переходят в него; работу с закупкой целиком они не открывают.</w:t>
      </w:r>
    </w:p>
    <w:tbl>
      <w:tblPr>
        <w:tblStyle w:val="TableGrid"/>
        <w:tblW w:type="auto" w:w="0"/>
        <w:jc w:val="center"/>
        <w:tblLook w:firstColumn="1" w:firstRow="1" w:lastColumn="0" w:lastRow="0" w:noHBand="0" w:noVBand="1" w:val="04A0"/>
      </w:tblPr>
      <w:tblGrid>
        <w:gridCol w:w="1871"/>
        <w:gridCol w:w="1871"/>
        <w:gridCol w:w="1871"/>
        <w:gridCol w:w="1871"/>
        <w:gridCol w:w="1871"/>
      </w:tblGrid>
      <w:tr>
        <w:tc>
          <w:tcPr>
            <w:tcW w:type="dxa" w:w="1871"/>
          </w:tcPr>
          <w:p>
            <w:pPr>
              <w:spacing w:line="240" w:lineRule="auto" w:after="0"/>
              <w:ind w:firstLine="0"/>
            </w:pPr>
            <w:r>
              <w:rPr>
                <w:rFonts w:ascii="Times New Roman" w:hAnsi="Times New Roman" w:eastAsia="Times New Roman" w:cs="Times New Roman"/>
                <w:b/>
                <w:sz w:val="20"/>
              </w:rPr>
              <w:t>Пакет</w:t>
            </w:r>
          </w:p>
        </w:tc>
        <w:tc>
          <w:tcPr>
            <w:tcW w:type="dxa" w:w="1871"/>
          </w:tcPr>
          <w:p>
            <w:pPr>
              <w:spacing w:line="240" w:lineRule="auto" w:after="0"/>
              <w:ind w:firstLine="0"/>
            </w:pPr>
            <w:r>
              <w:rPr>
                <w:rFonts w:ascii="Times New Roman" w:hAnsi="Times New Roman" w:eastAsia="Times New Roman" w:cs="Times New Roman"/>
                <w:b/>
                <w:sz w:val="20"/>
              </w:rPr>
              <w:t>Позиций за период (30 дней)</w:t>
            </w:r>
          </w:p>
        </w:tc>
        <w:tc>
          <w:tcPr>
            <w:tcW w:type="dxa" w:w="1871"/>
          </w:tcPr>
          <w:p>
            <w:pPr>
              <w:spacing w:line="240" w:lineRule="auto" w:after="0"/>
              <w:ind w:firstLine="0"/>
            </w:pPr>
            <w:r>
              <w:rPr>
                <w:rFonts w:ascii="Times New Roman" w:hAnsi="Times New Roman" w:eastAsia="Times New Roman" w:cs="Times New Roman"/>
                <w:b/>
                <w:sz w:val="20"/>
              </w:rPr>
              <w:t>Цена позиции</w:t>
            </w:r>
          </w:p>
        </w:tc>
        <w:tc>
          <w:tcPr>
            <w:tcW w:type="dxa" w:w="1871"/>
          </w:tcPr>
          <w:p>
            <w:pPr>
              <w:spacing w:line="240" w:lineRule="auto" w:after="0"/>
              <w:ind w:firstLine="0"/>
            </w:pPr>
            <w:r>
              <w:rPr>
                <w:rFonts w:ascii="Times New Roman" w:hAnsi="Times New Roman" w:eastAsia="Times New Roman" w:cs="Times New Roman"/>
                <w:b/>
                <w:sz w:val="20"/>
              </w:rPr>
              <w:t>За период</w:t>
            </w:r>
          </w:p>
        </w:tc>
        <w:tc>
          <w:tcPr>
            <w:tcW w:type="dxa" w:w="1871"/>
          </w:tcPr>
          <w:p>
            <w:pPr>
              <w:spacing w:line="240" w:lineRule="auto" w:after="0"/>
              <w:ind w:firstLine="0"/>
            </w:pPr>
            <w:r>
              <w:rPr>
                <w:rFonts w:ascii="Times New Roman" w:hAnsi="Times New Roman" w:eastAsia="Times New Roman" w:cs="Times New Roman"/>
                <w:b/>
                <w:sz w:val="20"/>
              </w:rPr>
              <w:t>За год: 12 периодов, 360 дней (оплата за 10)</w:t>
            </w:r>
          </w:p>
        </w:tc>
      </w:tr>
      <w:tr>
        <w:tc>
          <w:tcPr>
            <w:tcW w:type="dxa" w:w="1871"/>
          </w:tcPr>
          <w:p>
            <w:pPr>
              <w:spacing w:line="240" w:lineRule="auto" w:after="0"/>
              <w:ind w:firstLine="0"/>
            </w:pPr>
            <w:r>
              <w:rPr>
                <w:rFonts w:ascii="Times New Roman" w:hAnsi="Times New Roman" w:eastAsia="Times New Roman" w:cs="Times New Roman"/>
                <w:b w:val="0"/>
                <w:sz w:val="20"/>
              </w:rPr>
              <w:t>Старт</w:t>
            </w:r>
          </w:p>
        </w:tc>
        <w:tc>
          <w:tcPr>
            <w:tcW w:type="dxa" w:w="1871"/>
          </w:tcPr>
          <w:p>
            <w:pPr>
              <w:spacing w:line="240" w:lineRule="auto" w:after="0"/>
              <w:ind w:firstLine="0"/>
            </w:pPr>
            <w:r>
              <w:rPr>
                <w:rFonts w:ascii="Times New Roman" w:hAnsi="Times New Roman" w:eastAsia="Times New Roman" w:cs="Times New Roman"/>
                <w:b w:val="0"/>
                <w:sz w:val="20"/>
              </w:rPr>
              <w:t>50</w:t>
            </w:r>
          </w:p>
        </w:tc>
        <w:tc>
          <w:tcPr>
            <w:tcW w:type="dxa" w:w="1871"/>
          </w:tcPr>
          <w:p>
            <w:pPr>
              <w:spacing w:line="240" w:lineRule="auto" w:after="0"/>
              <w:ind w:firstLine="0"/>
            </w:pPr>
            <w:r>
              <w:rPr>
                <w:rFonts w:ascii="Times New Roman" w:hAnsi="Times New Roman" w:eastAsia="Times New Roman" w:cs="Times New Roman"/>
                <w:b w:val="0"/>
                <w:sz w:val="20"/>
              </w:rPr>
              <w:t>100 руб.</w:t>
            </w:r>
          </w:p>
        </w:tc>
        <w:tc>
          <w:tcPr>
            <w:tcW w:type="dxa" w:w="1871"/>
          </w:tcPr>
          <w:p>
            <w:pPr>
              <w:spacing w:line="240" w:lineRule="auto" w:after="0"/>
              <w:ind w:firstLine="0"/>
            </w:pPr>
            <w:r>
              <w:rPr>
                <w:rFonts w:ascii="Times New Roman" w:hAnsi="Times New Roman" w:eastAsia="Times New Roman" w:cs="Times New Roman"/>
                <w:b w:val="0"/>
                <w:sz w:val="20"/>
              </w:rPr>
              <w:t>5 000 руб.</w:t>
            </w:r>
          </w:p>
        </w:tc>
        <w:tc>
          <w:tcPr>
            <w:tcW w:type="dxa" w:w="1871"/>
          </w:tcPr>
          <w:p>
            <w:pPr>
              <w:spacing w:line="240" w:lineRule="auto" w:after="0"/>
              <w:ind w:firstLine="0"/>
            </w:pPr>
            <w:r>
              <w:rPr>
                <w:rFonts w:ascii="Times New Roman" w:hAnsi="Times New Roman" w:eastAsia="Times New Roman" w:cs="Times New Roman"/>
                <w:b w:val="0"/>
                <w:sz w:val="20"/>
              </w:rPr>
              <w:t>50 000 руб.</w:t>
            </w:r>
          </w:p>
        </w:tc>
      </w:tr>
      <w:tr>
        <w:tc>
          <w:tcPr>
            <w:tcW w:type="dxa" w:w="1871"/>
          </w:tcPr>
          <w:p>
            <w:pPr>
              <w:spacing w:line="240" w:lineRule="auto" w:after="0"/>
              <w:ind w:firstLine="0"/>
            </w:pPr>
            <w:r>
              <w:rPr>
                <w:rFonts w:ascii="Times New Roman" w:hAnsi="Times New Roman" w:eastAsia="Times New Roman" w:cs="Times New Roman"/>
                <w:b w:val="0"/>
                <w:sz w:val="20"/>
              </w:rPr>
              <w:t>Стандарт</w:t>
            </w:r>
          </w:p>
        </w:tc>
        <w:tc>
          <w:tcPr>
            <w:tcW w:type="dxa" w:w="1871"/>
          </w:tcPr>
          <w:p>
            <w:pPr>
              <w:spacing w:line="240" w:lineRule="auto" w:after="0"/>
              <w:ind w:firstLine="0"/>
            </w:pPr>
            <w:r>
              <w:rPr>
                <w:rFonts w:ascii="Times New Roman" w:hAnsi="Times New Roman" w:eastAsia="Times New Roman" w:cs="Times New Roman"/>
                <w:b w:val="0"/>
                <w:sz w:val="20"/>
              </w:rPr>
              <w:t>200</w:t>
            </w:r>
          </w:p>
        </w:tc>
        <w:tc>
          <w:tcPr>
            <w:tcW w:type="dxa" w:w="1871"/>
          </w:tcPr>
          <w:p>
            <w:pPr>
              <w:spacing w:line="240" w:lineRule="auto" w:after="0"/>
              <w:ind w:firstLine="0"/>
            </w:pPr>
            <w:r>
              <w:rPr>
                <w:rFonts w:ascii="Times New Roman" w:hAnsi="Times New Roman" w:eastAsia="Times New Roman" w:cs="Times New Roman"/>
                <w:b w:val="0"/>
                <w:sz w:val="20"/>
              </w:rPr>
              <w:t>96 руб.</w:t>
            </w:r>
          </w:p>
        </w:tc>
        <w:tc>
          <w:tcPr>
            <w:tcW w:type="dxa" w:w="1871"/>
          </w:tcPr>
          <w:p>
            <w:pPr>
              <w:spacing w:line="240" w:lineRule="auto" w:after="0"/>
              <w:ind w:firstLine="0"/>
            </w:pPr>
            <w:r>
              <w:rPr>
                <w:rFonts w:ascii="Times New Roman" w:hAnsi="Times New Roman" w:eastAsia="Times New Roman" w:cs="Times New Roman"/>
                <w:b w:val="0"/>
                <w:sz w:val="20"/>
              </w:rPr>
              <w:t>19 200 руб.</w:t>
            </w:r>
          </w:p>
        </w:tc>
        <w:tc>
          <w:tcPr>
            <w:tcW w:type="dxa" w:w="1871"/>
          </w:tcPr>
          <w:p>
            <w:pPr>
              <w:spacing w:line="240" w:lineRule="auto" w:after="0"/>
              <w:ind w:firstLine="0"/>
            </w:pPr>
            <w:r>
              <w:rPr>
                <w:rFonts w:ascii="Times New Roman" w:hAnsi="Times New Roman" w:eastAsia="Times New Roman" w:cs="Times New Roman"/>
                <w:b w:val="0"/>
                <w:sz w:val="20"/>
              </w:rPr>
              <w:t>192 000 руб.</w:t>
            </w:r>
          </w:p>
        </w:tc>
      </w:tr>
      <w:tr>
        <w:tc>
          <w:tcPr>
            <w:tcW w:type="dxa" w:w="1871"/>
          </w:tcPr>
          <w:p>
            <w:pPr>
              <w:spacing w:line="240" w:lineRule="auto" w:after="0"/>
              <w:ind w:firstLine="0"/>
            </w:pPr>
            <w:r>
              <w:rPr>
                <w:rFonts w:ascii="Times New Roman" w:hAnsi="Times New Roman" w:eastAsia="Times New Roman" w:cs="Times New Roman"/>
                <w:b w:val="0"/>
                <w:sz w:val="20"/>
              </w:rPr>
              <w:t>Про</w:t>
            </w:r>
          </w:p>
        </w:tc>
        <w:tc>
          <w:tcPr>
            <w:tcW w:type="dxa" w:w="1871"/>
          </w:tcPr>
          <w:p>
            <w:pPr>
              <w:spacing w:line="240" w:lineRule="auto" w:after="0"/>
              <w:ind w:firstLine="0"/>
            </w:pPr>
            <w:r>
              <w:rPr>
                <w:rFonts w:ascii="Times New Roman" w:hAnsi="Times New Roman" w:eastAsia="Times New Roman" w:cs="Times New Roman"/>
                <w:b w:val="0"/>
                <w:sz w:val="20"/>
              </w:rPr>
              <w:t>550</w:t>
            </w:r>
          </w:p>
        </w:tc>
        <w:tc>
          <w:tcPr>
            <w:tcW w:type="dxa" w:w="1871"/>
          </w:tcPr>
          <w:p>
            <w:pPr>
              <w:spacing w:line="240" w:lineRule="auto" w:after="0"/>
              <w:ind w:firstLine="0"/>
            </w:pPr>
            <w:r>
              <w:rPr>
                <w:rFonts w:ascii="Times New Roman" w:hAnsi="Times New Roman" w:eastAsia="Times New Roman" w:cs="Times New Roman"/>
                <w:b w:val="0"/>
                <w:sz w:val="20"/>
              </w:rPr>
              <w:t>95 руб.</w:t>
            </w:r>
          </w:p>
        </w:tc>
        <w:tc>
          <w:tcPr>
            <w:tcW w:type="dxa" w:w="1871"/>
          </w:tcPr>
          <w:p>
            <w:pPr>
              <w:spacing w:line="240" w:lineRule="auto" w:after="0"/>
              <w:ind w:firstLine="0"/>
            </w:pPr>
            <w:r>
              <w:rPr>
                <w:rFonts w:ascii="Times New Roman" w:hAnsi="Times New Roman" w:eastAsia="Times New Roman" w:cs="Times New Roman"/>
                <w:b w:val="0"/>
                <w:sz w:val="20"/>
              </w:rPr>
              <w:t>52 250 руб.</w:t>
            </w:r>
          </w:p>
        </w:tc>
        <w:tc>
          <w:tcPr>
            <w:tcW w:type="dxa" w:w="1871"/>
          </w:tcPr>
          <w:p>
            <w:pPr>
              <w:spacing w:line="240" w:lineRule="auto" w:after="0"/>
              <w:ind w:firstLine="0"/>
            </w:pPr>
            <w:r>
              <w:rPr>
                <w:rFonts w:ascii="Times New Roman" w:hAnsi="Times New Roman" w:eastAsia="Times New Roman" w:cs="Times New Roman"/>
                <w:b w:val="0"/>
                <w:sz w:val="20"/>
              </w:rPr>
              <w:t>522 500 руб.</w:t>
            </w:r>
          </w:p>
        </w:tc>
      </w:tr>
      <w:tr>
        <w:tc>
          <w:tcPr>
            <w:tcW w:type="dxa" w:w="1871"/>
          </w:tcPr>
          <w:p>
            <w:pPr>
              <w:spacing w:line="240" w:lineRule="auto" w:after="0"/>
              <w:ind w:firstLine="0"/>
            </w:pPr>
            <w:r>
              <w:rPr>
                <w:rFonts w:ascii="Times New Roman" w:hAnsi="Times New Roman" w:eastAsia="Times New Roman" w:cs="Times New Roman"/>
                <w:b w:val="0"/>
                <w:sz w:val="20"/>
              </w:rPr>
              <w:t>Бизнес</w:t>
            </w:r>
          </w:p>
        </w:tc>
        <w:tc>
          <w:tcPr>
            <w:tcW w:type="dxa" w:w="1871"/>
          </w:tcPr>
          <w:p>
            <w:pPr>
              <w:spacing w:line="240" w:lineRule="auto" w:after="0"/>
              <w:ind w:firstLine="0"/>
            </w:pPr>
            <w:r>
              <w:rPr>
                <w:rFonts w:ascii="Times New Roman" w:hAnsi="Times New Roman" w:eastAsia="Times New Roman" w:cs="Times New Roman"/>
                <w:b w:val="0"/>
                <w:sz w:val="20"/>
              </w:rPr>
              <w:t>2 750</w:t>
            </w:r>
          </w:p>
        </w:tc>
        <w:tc>
          <w:tcPr>
            <w:tcW w:type="dxa" w:w="1871"/>
          </w:tcPr>
          <w:p>
            <w:pPr>
              <w:spacing w:line="240" w:lineRule="auto" w:after="0"/>
              <w:ind w:firstLine="0"/>
            </w:pPr>
            <w:r>
              <w:rPr>
                <w:rFonts w:ascii="Times New Roman" w:hAnsi="Times New Roman" w:eastAsia="Times New Roman" w:cs="Times New Roman"/>
                <w:b w:val="0"/>
                <w:sz w:val="20"/>
              </w:rPr>
              <w:t>90 руб.</w:t>
            </w:r>
          </w:p>
        </w:tc>
        <w:tc>
          <w:tcPr>
            <w:tcW w:type="dxa" w:w="1871"/>
          </w:tcPr>
          <w:p>
            <w:pPr>
              <w:spacing w:line="240" w:lineRule="auto" w:after="0"/>
              <w:ind w:firstLine="0"/>
            </w:pPr>
            <w:r>
              <w:rPr>
                <w:rFonts w:ascii="Times New Roman" w:hAnsi="Times New Roman" w:eastAsia="Times New Roman" w:cs="Times New Roman"/>
                <w:b w:val="0"/>
                <w:sz w:val="20"/>
              </w:rPr>
              <w:t>247 500 руб.</w:t>
            </w:r>
          </w:p>
        </w:tc>
        <w:tc>
          <w:tcPr>
            <w:tcW w:type="dxa" w:w="1871"/>
          </w:tcPr>
          <w:p>
            <w:pPr>
              <w:spacing w:line="240" w:lineRule="auto" w:after="0"/>
              <w:ind w:firstLine="0"/>
            </w:pPr>
            <w:r>
              <w:rPr>
                <w:rFonts w:ascii="Times New Roman" w:hAnsi="Times New Roman" w:eastAsia="Times New Roman" w:cs="Times New Roman"/>
                <w:b w:val="0"/>
                <w:sz w:val="20"/>
              </w:rPr>
              <w:t>2 475 000 руб.</w:t>
            </w:r>
          </w:p>
        </w:tc>
      </w:tr>
      <w:tr>
        <w:tc>
          <w:tcPr>
            <w:tcW w:type="dxa" w:w="1871"/>
          </w:tcPr>
          <w:p>
            <w:pPr>
              <w:spacing w:line="240" w:lineRule="auto" w:after="0"/>
              <w:ind w:firstLine="0"/>
            </w:pPr>
            <w:r>
              <w:rPr>
                <w:rFonts w:ascii="Times New Roman" w:hAnsi="Times New Roman" w:eastAsia="Times New Roman" w:cs="Times New Roman"/>
                <w:b w:val="0"/>
                <w:sz w:val="20"/>
              </w:rPr>
              <w:t>Энтерпрайз</w:t>
            </w:r>
          </w:p>
        </w:tc>
        <w:tc>
          <w:tcPr>
            <w:tcW w:type="dxa" w:w="1871"/>
          </w:tcPr>
          <w:p>
            <w:pPr>
              <w:spacing w:line="240" w:lineRule="auto" w:after="0"/>
              <w:ind w:firstLine="0"/>
            </w:pPr>
            <w:r>
              <w:rPr>
                <w:rFonts w:ascii="Times New Roman" w:hAnsi="Times New Roman" w:eastAsia="Times New Roman" w:cs="Times New Roman"/>
                <w:b w:val="0"/>
                <w:sz w:val="20"/>
              </w:rPr>
              <w:t>5 500</w:t>
            </w:r>
          </w:p>
        </w:tc>
        <w:tc>
          <w:tcPr>
            <w:tcW w:type="dxa" w:w="1871"/>
          </w:tcPr>
          <w:p>
            <w:pPr>
              <w:spacing w:line="240" w:lineRule="auto" w:after="0"/>
              <w:ind w:firstLine="0"/>
            </w:pPr>
            <w:r>
              <w:rPr>
                <w:rFonts w:ascii="Times New Roman" w:hAnsi="Times New Roman" w:eastAsia="Times New Roman" w:cs="Times New Roman"/>
                <w:b w:val="0"/>
                <w:sz w:val="20"/>
              </w:rPr>
              <w:t>85 руб.</w:t>
            </w:r>
          </w:p>
        </w:tc>
        <w:tc>
          <w:tcPr>
            <w:tcW w:type="dxa" w:w="1871"/>
          </w:tcPr>
          <w:p>
            <w:pPr>
              <w:spacing w:line="240" w:lineRule="auto" w:after="0"/>
              <w:ind w:firstLine="0"/>
            </w:pPr>
            <w:r>
              <w:rPr>
                <w:rFonts w:ascii="Times New Roman" w:hAnsi="Times New Roman" w:eastAsia="Times New Roman" w:cs="Times New Roman"/>
                <w:b w:val="0"/>
                <w:sz w:val="20"/>
              </w:rPr>
              <w:t>467 500 руб.</w:t>
            </w:r>
          </w:p>
        </w:tc>
        <w:tc>
          <w:tcPr>
            <w:tcW w:type="dxa" w:w="1871"/>
          </w:tcPr>
          <w:p>
            <w:pPr>
              <w:spacing w:line="240" w:lineRule="auto" w:after="0"/>
              <w:ind w:firstLine="0"/>
            </w:pPr>
            <w:r>
              <w:rPr>
                <w:rFonts w:ascii="Times New Roman" w:hAnsi="Times New Roman" w:eastAsia="Times New Roman" w:cs="Times New Roman"/>
                <w:b w:val="0"/>
                <w:sz w:val="20"/>
              </w:rPr>
              <w:t>4 675 000 руб.</w:t>
            </w:r>
          </w:p>
        </w:tc>
      </w:tr>
      <w:tr>
        <w:tc>
          <w:tcPr>
            <w:tcW w:type="dxa" w:w="1871"/>
          </w:tcPr>
          <w:p>
            <w:pPr>
              <w:spacing w:line="240" w:lineRule="auto" w:after="0"/>
              <w:ind w:firstLine="0"/>
            </w:pPr>
            <w:r>
              <w:rPr>
                <w:rFonts w:ascii="Times New Roman" w:hAnsi="Times New Roman" w:eastAsia="Times New Roman" w:cs="Times New Roman"/>
                <w:b w:val="0"/>
                <w:sz w:val="20"/>
              </w:rPr>
              <w:t>Максимум</w:t>
            </w:r>
          </w:p>
        </w:tc>
        <w:tc>
          <w:tcPr>
            <w:tcW w:type="dxa" w:w="1871"/>
          </w:tcPr>
          <w:p>
            <w:pPr>
              <w:spacing w:line="240" w:lineRule="auto" w:after="0"/>
              <w:ind w:firstLine="0"/>
            </w:pPr>
            <w:r>
              <w:rPr>
                <w:rFonts w:ascii="Times New Roman" w:hAnsi="Times New Roman" w:eastAsia="Times New Roman" w:cs="Times New Roman"/>
                <w:b w:val="0"/>
                <w:sz w:val="20"/>
              </w:rPr>
              <w:t>12 500</w:t>
            </w:r>
          </w:p>
        </w:tc>
        <w:tc>
          <w:tcPr>
            <w:tcW w:type="dxa" w:w="1871"/>
          </w:tcPr>
          <w:p>
            <w:pPr>
              <w:spacing w:line="240" w:lineRule="auto" w:after="0"/>
              <w:ind w:firstLine="0"/>
            </w:pPr>
            <w:r>
              <w:rPr>
                <w:rFonts w:ascii="Times New Roman" w:hAnsi="Times New Roman" w:eastAsia="Times New Roman" w:cs="Times New Roman"/>
                <w:b w:val="0"/>
                <w:sz w:val="20"/>
              </w:rPr>
              <w:t>80 руб.</w:t>
            </w:r>
          </w:p>
        </w:tc>
        <w:tc>
          <w:tcPr>
            <w:tcW w:type="dxa" w:w="1871"/>
          </w:tcPr>
          <w:p>
            <w:pPr>
              <w:spacing w:line="240" w:lineRule="auto" w:after="0"/>
              <w:ind w:firstLine="0"/>
            </w:pPr>
            <w:r>
              <w:rPr>
                <w:rFonts w:ascii="Times New Roman" w:hAnsi="Times New Roman" w:eastAsia="Times New Roman" w:cs="Times New Roman"/>
                <w:b w:val="0"/>
                <w:sz w:val="20"/>
              </w:rPr>
              <w:t>1 000 000 руб.</w:t>
            </w:r>
          </w:p>
        </w:tc>
        <w:tc>
          <w:tcPr>
            <w:tcW w:type="dxa" w:w="1871"/>
          </w:tcPr>
          <w:p>
            <w:pPr>
              <w:spacing w:line="240" w:lineRule="auto" w:after="0"/>
              <w:ind w:firstLine="0"/>
            </w:pPr>
            <w:r>
              <w:rPr>
                <w:rFonts w:ascii="Times New Roman" w:hAnsi="Times New Roman" w:eastAsia="Times New Roman" w:cs="Times New Roman"/>
                <w:b w:val="0"/>
                <w:sz w:val="20"/>
              </w:rPr>
              <w:t>10 000 000 руб.</w:t>
            </w:r>
          </w:p>
        </w:tc>
      </w:tr>
    </w:tbl>
    <w:p/>
    <w:p>
      <w:pPr>
        <w:spacing w:before="0" w:after="0"/>
        <w:ind w:firstLine="709" w:left="0"/>
      </w:pPr>
      <w:r>
        <w:rPr>
          <w:rFonts w:ascii="Times New Roman" w:hAnsi="Times New Roman" w:eastAsia="Times New Roman" w:cs="Times New Roman"/>
          <w:b w:val="0"/>
          <w:sz w:val="24"/>
        </w:rPr>
        <w:t>Цены окончательные. НДС не начисляется: исполнитель применяет автоматизированную упрощённую систему налогообложения и налогоплательщиком НДС не признаётся (часть 6 статьи 2 Федерального закона от 25.02.2022 № 17-ФЗ). Действующие тарифы опубликованы также на главной странице.</w:t>
      </w:r>
    </w:p>
    <w:p>
      <w:pPr>
        <w:spacing w:before="0" w:after="0"/>
        <w:ind w:firstLine="709" w:left="0"/>
      </w:pPr>
      <w:r>
        <w:rPr>
          <w:rFonts w:ascii="Times New Roman" w:hAnsi="Times New Roman" w:eastAsia="Times New Roman" w:cs="Times New Roman"/>
          <w:b w:val="0"/>
          <w:sz w:val="24"/>
        </w:rPr>
        <w:t>Сколько строк собственного прайса пакет держит в поиске: 1 000 строк на пакетах 50 и 200 позиций, 5 000 — на 550, 20 000 — на 2 750, 100 000 — на 5 500 и 12 500. Строки сверх этого числа при загрузке файла не принимаются; сам файл остаётся у вас.</w:t>
      </w:r>
    </w:p>
    <w:p>
      <w:pPr>
        <w:spacing w:before="0" w:after="0"/>
        <w:ind w:firstLine="709" w:left="0"/>
      </w:pPr>
      <w:r>
        <w:rPr>
          <w:rFonts w:ascii="Times New Roman" w:hAnsi="Times New Roman" w:eastAsia="Times New Roman" w:cs="Times New Roman"/>
          <w:b w:val="0"/>
          <w:sz w:val="24"/>
        </w:rPr>
        <w:t>Если следующий пакет оплачен до окончания текущего периода, неиспользованный остаток позиций переносится, а срок считается заново с даты оплаты: неиспользованные дни текущего периода при досрочной оплате не сохраняются. После окончания периода остаток ждёт 14 календарных дней: оплатили пакет в эти дни — остаток переносится, позже — сгорает. При оплате года пул выдаётся на каждый период, неиспользованный остаток копится внутри оплаченного года и по его окончании живёт по тому же правилу 14 дней. При годовой оплате 2 сайта поставщиков подключаются без доплаты на весь год. После окончания срока ваши закупки в работе, отчёты, решения и переписка остаются доступны для просмотра; менять этапы и ставить задачи можно после оплаты.</w:t>
      </w:r>
    </w:p>
    <w:p>
      <w:pPr>
        <w:spacing w:before="0" w:after="0"/>
        <w:ind w:firstLine="709" w:left="0"/>
      </w:pPr>
      <w:r>
        <w:rPr>
          <w:rFonts w:ascii="Times New Roman" w:hAnsi="Times New Roman" w:eastAsia="Times New Roman" w:cs="Times New Roman"/>
          <w:b w:val="0"/>
          <w:sz w:val="24"/>
        </w:rPr>
        <w:t>Когда пул исчерпан, просчёт ждёт оплаты следующего периода, смены пакета или докупа позиций: в долг сервис не считает. Позиции можно докупить поштучно, от 10 до 50 000 штук: на пакете 50 позиций — по 150 руб., на пакете 200 позиций — по 100 руб., на остальных — по цене позиции вашего пакета; докупленные позиции живут вместе с остатком пула.</w:t>
      </w:r>
    </w:p>
    <w:p>
      <w:pPr>
        <w:spacing w:before="0" w:after="0"/>
        <w:ind w:firstLine="709" w:left="0"/>
      </w:pPr>
      <w:r>
        <w:rPr>
          <w:rFonts w:ascii="Times New Roman" w:hAnsi="Times New Roman" w:eastAsia="Times New Roman" w:cs="Times New Roman"/>
          <w:b w:val="0"/>
          <w:sz w:val="24"/>
        </w:rPr>
        <w:t>По умолчанию просчёт ищет цены в магазинах, которые сервис читает сам. Отдельная услуга — подключить к просчёту сайт вашего поставщика: дилера, оптового склада, отраслевого каталога. Просчёт опрашивает его общедоступные страницы наравне с магазинами, найденная там цена идёт в себестоимость позиции, а подключённый сайт используется только в просчётах вашей организации. Читаются страницы, открытые без входа по логину; закрытый личный кабинет поставщика самообслуживанием пока не подключается — напишите на support@tendik.ru, разберём отдельно. Стоимость подключения — 2 500 руб. за сайт на 30 календарных дней. Домены вы добавляете сами в личном кабинете и там же оплачиваете подключение картой; просчёт опрашивает их с даты оплаты. Сайт, который наш движок прочитать не может, мы дорабатываем руками в течение 5 рабочих дней с даты оплаты. Если подключить сайт не удалось, вы выбираете: подключаем вместо него другой сайт без доплаты либо возвращаем уплаченную за это подключение сумму в течение 10 рабочих дней. Все подключённые сайты действуют до общей даты, которая при каждой оплате устанавливается не ранее 30 календарных дней с даты этой оплаты: оплата новых подключений срок ранее оплаченных не сокращает. При годовой оплате 2 сайта подключаются без доплаты на весь год; подарочные и оплаченные подключения складываются. Одновременно опрашивается не более 20 сайтов.</w:t>
      </w:r>
    </w:p>
    <w:p>
      <w:pPr>
        <w:spacing w:before="0" w:after="0"/>
        <w:ind w:firstLine="709" w:left="0"/>
      </w:pPr>
      <w:r>
        <w:rPr>
          <w:rFonts w:ascii="Times New Roman" w:hAnsi="Times New Roman" w:eastAsia="Times New Roman" w:cs="Times New Roman"/>
          <w:b w:val="0"/>
          <w:sz w:val="24"/>
        </w:rPr>
        <w:t>Сменить пакет можно оплатой другого пакета в личном кабинете: смена вступает в силу сразу и начинает новый период, а неиспользованный остаток позиций переносится. Понижение пакета возможно при отсутствии задолженности. Если оплачен год, смена пакета внутри него делается через поддержку: напишите на support@tendik.ru, отвечаем в течение 3 рабочих дней.</w:t>
      </w:r>
    </w:p>
    <w:p>
      <w:pPr>
        <w:spacing w:before="0" w:after="0"/>
        <w:ind w:firstLine="709" w:left="0"/>
      </w:pPr>
      <w:r>
        <w:rPr>
          <w:rFonts w:ascii="Times New Roman" w:hAnsi="Times New Roman" w:eastAsia="Times New Roman" w:cs="Times New Roman"/>
          <w:b w:val="0"/>
          <w:sz w:val="24"/>
        </w:rPr>
        <w:t>Люди у организации бесплатны: пользователей может быть сколько угодно, роли (администратор, оператор, наблюдатель) не тарифицируются, у каждого может быть свой потолок позиций на период. Согласование расчёта по одноразовой ссылке из письма отдельной роли не образует и отдельно не оплачивается.</w:t>
      </w:r>
    </w:p>
    <w:p>
      <w:pPr>
        <w:spacing w:before="0" w:after="0"/>
        <w:ind w:firstLine="709" w:left="0"/>
      </w:pPr>
      <w:r>
        <w:rPr>
          <w:rFonts w:ascii="Times New Roman" w:hAnsi="Times New Roman" w:eastAsia="Times New Roman" w:cs="Times New Roman"/>
          <w:b w:val="0"/>
          <w:sz w:val="24"/>
        </w:rPr>
        <w:t>Сервис разработан и оказывается в России. Исполнитель — ООО «ТЕНДИК», ОГРН 1267800063630, ИНН 7806637140; адрес: 195027, г. Санкт-Петербург, вн.тер.г. муниципальный округ Большая Охта, ул. Магнитогорская, д. 51, литера А, помещ. 2Н/3Н. Услуга оказывается на территории Российской Федерации, экспортных ограничений нет.</w:t>
      </w:r>
    </w:p>
    <w:p>
      <w:pPr>
        <w:spacing w:before="240" w:after="120"/>
        <w:ind w:firstLine="0" w:left="0"/>
        <w:jc w:val="left"/>
      </w:pPr>
      <w:r>
        <w:rPr>
          <w:rFonts w:ascii="Times New Roman" w:hAnsi="Times New Roman" w:eastAsia="Times New Roman" w:cs="Times New Roman"/>
          <w:b/>
          <w:sz w:val="24"/>
        </w:rPr>
        <w:t>Способы оплаты</w:t>
      </w:r>
    </w:p>
    <w:p>
      <w:pPr>
        <w:spacing w:before="0" w:after="0"/>
        <w:ind w:firstLine="709" w:left="0"/>
      </w:pPr>
      <w:r>
        <w:rPr>
          <w:rFonts w:ascii="Times New Roman" w:hAnsi="Times New Roman" w:eastAsia="Times New Roman" w:cs="Times New Roman"/>
          <w:b w:val="0"/>
          <w:sz w:val="24"/>
        </w:rPr>
        <w:t>Банковской картой Мир, Visa или Mastercard. Платежи принимает Т-Банк на своей защищённой платёжной странице. Оплата картой доступна и физическому лицу, ИНН для неё не нужен.</w:t>
      </w:r>
    </w:p>
    <w:p>
      <w:pPr>
        <w:spacing w:before="0" w:after="0"/>
        <w:ind w:firstLine="709" w:left="0"/>
      </w:pPr>
      <w:r>
        <w:rPr>
          <w:rFonts w:ascii="Times New Roman" w:hAnsi="Times New Roman" w:eastAsia="Times New Roman" w:cs="Times New Roman"/>
          <w:b w:val="0"/>
          <w:sz w:val="24"/>
        </w:rPr>
        <w:t>Организациям и индивидуальным предпринимателям, которым нужен безналичный расчёт, счёт выставляется кнопкой в личном кабинете: укажите ИНН плательщика и выберите пакет, счёт формируется сразу и доступен печатной формой в формате PDF. Счёт действителен для оплаты в течение срока, указанного в самом счёте. Оплата производится с расчётного счёта заказчика: оплату, поступившую от третьего лица, мы вправе не зачесть и вернуть плательщику. Если что-то не получилось, напишите на support@tendik.ru и укажите ИНН и выбранный пакет.</w:t>
      </w:r>
    </w:p>
    <w:p>
      <w:pPr>
        <w:spacing w:before="240" w:after="120"/>
        <w:ind w:firstLine="0" w:left="0"/>
        <w:jc w:val="left"/>
      </w:pPr>
      <w:r>
        <w:rPr>
          <w:rFonts w:ascii="Times New Roman" w:hAnsi="Times New Roman" w:eastAsia="Times New Roman" w:cs="Times New Roman"/>
          <w:b/>
          <w:sz w:val="24"/>
        </w:rPr>
        <w:t>Автоматическое продление</w:t>
      </w:r>
    </w:p>
    <w:p>
      <w:pPr>
        <w:spacing w:before="0" w:after="0"/>
        <w:ind w:firstLine="709" w:left="0"/>
      </w:pPr>
      <w:r>
        <w:rPr>
          <w:rFonts w:ascii="Times New Roman" w:hAnsi="Times New Roman" w:eastAsia="Times New Roman" w:cs="Times New Roman"/>
          <w:b w:val="0"/>
          <w:sz w:val="24"/>
        </w:rPr>
        <w:t>При оплате картой можно подключить автопродление — выбрав в форме оплаты вариант «с автопродлением», до платежа; заранее он не выбран, при разовой оплате подписка не подключается. По окончании оплаченного срока мы спишем с той же карты стоимость следующего периода, а при годовой оплате — стоимость года, по тарифу, действующему на день списания. Не позднее чем за 3 календарных дня до каждого списания пришлём письмо с точной суммой и датой. Отказаться можно в любой момент в личном кабинете одним действием, без обращения в поддержку: отказ прекращает будущие списания, а оплаченный период остаётся вашим до конца срока. Если банк отказал в списании три раза подряд, подписка снимается автоматически, о чём мы сообщаем письмом.</w:t>
      </w:r>
    </w:p>
    <w:p>
      <w:pPr>
        <w:spacing w:before="240" w:after="120"/>
        <w:ind w:firstLine="0" w:left="0"/>
        <w:jc w:val="left"/>
      </w:pPr>
      <w:r>
        <w:rPr>
          <w:rFonts w:ascii="Times New Roman" w:hAnsi="Times New Roman" w:eastAsia="Times New Roman" w:cs="Times New Roman"/>
          <w:b/>
          <w:sz w:val="24"/>
        </w:rPr>
        <w:t>Как вы получаете услугу</w:t>
      </w:r>
    </w:p>
    <w:p>
      <w:pPr>
        <w:spacing w:before="0" w:after="0"/>
        <w:ind w:firstLine="709" w:left="0"/>
      </w:pPr>
      <w:r>
        <w:rPr>
          <w:rFonts w:ascii="Times New Roman" w:hAnsi="Times New Roman" w:eastAsia="Times New Roman" w:cs="Times New Roman"/>
          <w:b w:val="0"/>
          <w:sz w:val="24"/>
        </w:rPr>
        <w:t>Оплата картой: пул позиций открывается в личном кабинете автоматически после подтверждения платежа банком, обычно в течение минуты. Кассовый чек в соответствии с частью 5 статьи 1.2 Федерального закона от 22.05.2003 № 54-ФЗ «О применении контрольно-кассовой техники при осуществлении расчётов в Российской Федерации» приходит на адрес электронной почты, указанный при регистрации.</w:t>
      </w:r>
    </w:p>
    <w:p>
      <w:pPr>
        <w:spacing w:before="0" w:after="0"/>
        <w:ind w:firstLine="709" w:left="0"/>
      </w:pPr>
      <w:r>
        <w:rPr>
          <w:rFonts w:ascii="Times New Roman" w:hAnsi="Times New Roman" w:eastAsia="Times New Roman" w:cs="Times New Roman"/>
          <w:b w:val="0"/>
          <w:sz w:val="24"/>
        </w:rPr>
        <w:t>Оплата по счёту: доступ открывается не позднее 3 (трёх) рабочих дней с даты поступления денег на наш расчётный счёт, о чём мы уведомляем по электронной почте. Период исчисляется с момента фактического предоставления доступа.</w:t>
      </w:r>
    </w:p>
    <w:p>
      <w:pPr>
        <w:spacing w:before="0" w:after="0"/>
        <w:ind w:firstLine="709" w:left="0"/>
      </w:pPr>
      <w:r>
        <w:rPr>
          <w:rFonts w:ascii="Times New Roman" w:hAnsi="Times New Roman" w:eastAsia="Times New Roman" w:cs="Times New Roman"/>
          <w:b w:val="0"/>
          <w:sz w:val="24"/>
        </w:rPr>
        <w:t>Закрывающие документы: кассовый чек направляется автоматически, счёт формируется в личном кабинете. Акт об оказанных услугах (универсальный передаточный документ) автоматически не формируется: он составляется и направляется по запросу заказчика на support@tendik.ru в течение 10 рабочих дней с даты запроса, а оригинал на бумаге — по письменному запросу. Заказчику-потребителю акт не выставляется, документом об оплате служит кассовый чек.</w:t>
      </w:r>
    </w:p>
    <w:p>
      <w:pPr>
        <w:spacing w:before="0" w:after="0"/>
        <w:ind w:firstLine="709" w:left="0"/>
      </w:pPr>
      <w:r>
        <w:rPr>
          <w:rFonts w:ascii="Times New Roman" w:hAnsi="Times New Roman" w:eastAsia="Times New Roman" w:cs="Times New Roman"/>
          <w:b w:val="0"/>
          <w:sz w:val="24"/>
        </w:rPr>
        <w:t>Ничего доставлять не нужно, услуга доступна на всей территории России.</w:t>
      </w:r>
    </w:p>
    <w:p>
      <w:pPr>
        <w:spacing w:before="240" w:after="120"/>
        <w:ind w:firstLine="0" w:left="0"/>
        <w:jc w:val="left"/>
      </w:pPr>
      <w:r>
        <w:rPr>
          <w:rFonts w:ascii="Times New Roman" w:hAnsi="Times New Roman" w:eastAsia="Times New Roman" w:cs="Times New Roman"/>
          <w:b/>
          <w:sz w:val="24"/>
        </w:rPr>
        <w:t>Безопасность платежа и данных</w:t>
      </w:r>
    </w:p>
    <w:p>
      <w:pPr>
        <w:spacing w:before="0" w:after="0"/>
        <w:ind w:firstLine="709" w:left="0"/>
      </w:pPr>
      <w:r>
        <w:rPr>
          <w:rFonts w:ascii="Times New Roman" w:hAnsi="Times New Roman" w:eastAsia="Times New Roman" w:cs="Times New Roman"/>
          <w:b w:val="0"/>
          <w:sz w:val="24"/>
        </w:rPr>
        <w:t>Реквизиты карты вы вводите на странице банка. В «Тендик» они не передаются и не хранятся. Соединение с сайтом и с платёжной страницей защищено шифрованием TLS (HTTPS). Т-Банк сертифицирован по стандарту безопасности платёжных систем PCI DSS.</w:t>
      </w:r>
    </w:p>
    <w:p>
      <w:pPr>
        <w:spacing w:before="0" w:after="0"/>
        <w:ind w:firstLine="709" w:left="0"/>
      </w:pPr>
      <w:r>
        <w:rPr>
          <w:rFonts w:ascii="Times New Roman" w:hAnsi="Times New Roman" w:eastAsia="Times New Roman" w:cs="Times New Roman"/>
          <w:b w:val="0"/>
          <w:sz w:val="24"/>
        </w:rPr>
        <w:t>Вход в личный кабинет выполняется по одноразовому коду из письма, пароль не хранится. Доступ к данным внутри компании ограничен, права разграничены, журналы доступа ведутся. Ваши цены, находки и расчёты привязаны к вашей организации и другим заказчикам не видны. Подробнее о защите персональных данных — политика персональных данных.</w:t>
      </w:r>
    </w:p>
    <w:p>
      <w:pPr>
        <w:spacing w:before="240" w:after="120"/>
        <w:ind w:firstLine="0" w:left="0"/>
        <w:jc w:val="left"/>
      </w:pPr>
      <w:r>
        <w:rPr>
          <w:rFonts w:ascii="Times New Roman" w:hAnsi="Times New Roman" w:eastAsia="Times New Roman" w:cs="Times New Roman"/>
          <w:b/>
          <w:sz w:val="24"/>
        </w:rPr>
        <w:t>Возврат и отмена</w:t>
      </w:r>
    </w:p>
    <w:p>
      <w:pPr>
        <w:spacing w:before="0" w:after="0"/>
        <w:ind w:firstLine="709" w:left="0"/>
      </w:pPr>
      <w:r>
        <w:rPr>
          <w:rFonts w:ascii="Times New Roman" w:hAnsi="Times New Roman" w:eastAsia="Times New Roman" w:cs="Times New Roman"/>
          <w:b w:val="0"/>
          <w:sz w:val="24"/>
        </w:rPr>
        <w:t>Отказаться от услуги можно в любой момент: напишите на support@tendik.ru с адреса, указанного при регистрации.</w:t>
      </w:r>
    </w:p>
    <w:p>
      <w:pPr>
        <w:spacing w:before="0" w:after="0"/>
        <w:ind w:firstLine="709" w:left="0"/>
      </w:pPr>
      <w:r>
        <w:rPr>
          <w:rFonts w:ascii="Times New Roman" w:hAnsi="Times New Roman" w:eastAsia="Times New Roman" w:cs="Times New Roman"/>
          <w:b w:val="0"/>
          <w:sz w:val="24"/>
        </w:rPr>
        <w:t>Заказчику-потребителю — физическому лицу, оплатившему доступ для нужд, не связанных с предпринимательской деятельностью, — при оплате одного периода возвращаем уплаченную сумму за вычетом стоимости позиций, списанных из пула на дату получения заявления, по цене позиции вашего пакета. При годовой оплате вместо этого вычитается стоимость начатых периодов; стоимость списанных позиций отдельно не удерживается. Никакие штрафы и удержания за сам факт отказа не применяются. Срок — 10 календарных дней с даты, когда мы получили заявление; деньги возвращаются на реквизиты, с которых поступила оплата.</w:t>
      </w:r>
    </w:p>
    <w:p>
      <w:pPr>
        <w:spacing w:before="0" w:after="0"/>
        <w:ind w:firstLine="709" w:left="0"/>
      </w:pPr>
      <w:r>
        <w:rPr>
          <w:rFonts w:ascii="Times New Roman" w:hAnsi="Times New Roman" w:eastAsia="Times New Roman" w:cs="Times New Roman"/>
          <w:b w:val="0"/>
          <w:sz w:val="24"/>
        </w:rPr>
        <w:t>Организациям и индивидуальным предпринимателям, а также физическим лицам, оплатившим доступ для кабинета с указанным ИНН организации или индивидуального предпринимателя, доступ действует до конца оплаченного периода; при оплате одного периода уплаченная за него сумма не возвращается. При годовой оплате (год — это 12 периодов по 30 дней, а платите вы за 10) из фактически уплаченной за год суммы вычитается стоимость одного периода за каждый начатый период, включая текущий, по пакету, действовавшему на дату оплаты. Стоимость периода при этом считается без скидки за годовую оплату: скидка даётся за оплату всех 12 периодов, и при досрочном прекращении использованные периоды пересчитываются по обычной цене периода. Если рассчитанная величина равна нулю или отрицательна, возврат не производится. Срок — 10 рабочих дней с даты, когда мы получили письменное заявление с банковскими реквизитами.</w:t>
      </w:r>
    </w:p>
    <w:p>
      <w:pPr>
        <w:spacing w:before="0" w:after="0"/>
        <w:ind w:firstLine="709" w:left="0"/>
      </w:pPr>
      <w:r>
        <w:rPr>
          <w:rFonts w:ascii="Times New Roman" w:hAnsi="Times New Roman" w:eastAsia="Times New Roman" w:cs="Times New Roman"/>
          <w:b w:val="0"/>
          <w:sz w:val="24"/>
        </w:rPr>
        <w:t>Если платёж прошёл по ошибке или дважды, напишите на support@tendik.ru с адреса, указанного при регистрации, и приложите дату и сумму платежа. Ошибочно уплаченную сумму возвращаем на реквизиты, с которых поступила оплата, в течение 10 календарных дней с даты получения заявления.</w:t>
      </w:r>
    </w:p>
    <w:p>
      <w:pPr>
        <w:spacing w:before="0" w:after="0"/>
        <w:ind w:firstLine="709" w:left="0"/>
      </w:pPr>
      <w:r>
        <w:rPr>
          <w:rFonts w:ascii="Times New Roman" w:hAnsi="Times New Roman" w:eastAsia="Times New Roman" w:cs="Times New Roman"/>
          <w:b w:val="0"/>
          <w:sz w:val="24"/>
        </w:rPr>
        <w:t>Точные условия возврата, в том числе при отказе от договора и при смене пакета, установлены договором-офертой.</w:t>
      </w:r>
    </w:p>
    <w:p>
      <w:pPr>
        <w:spacing w:before="240" w:after="120"/>
        <w:ind w:firstLine="0" w:left="0"/>
        <w:jc w:val="left"/>
      </w:pPr>
      <w:r>
        <w:rPr>
          <w:rFonts w:ascii="Times New Roman" w:hAnsi="Times New Roman" w:eastAsia="Times New Roman" w:cs="Times New Roman"/>
          <w:b/>
          <w:sz w:val="24"/>
        </w:rPr>
        <w:t>Поддержка</w:t>
      </w:r>
    </w:p>
    <w:p>
      <w:pPr>
        <w:spacing w:before="0" w:after="0"/>
        <w:ind w:firstLine="709" w:left="0"/>
      </w:pPr>
      <w:r>
        <w:rPr>
          <w:rFonts w:ascii="Times New Roman" w:hAnsi="Times New Roman" w:eastAsia="Times New Roman" w:cs="Times New Roman"/>
          <w:b w:val="0"/>
          <w:sz w:val="24"/>
        </w:rPr>
        <w:t>Почта: support@tendik.ru Телефон: +7 993 077-01-68 Отвечаем по будням (пн–пт) с 10:00 до 18:00 по московскому времени. На письма отвечаем в течение одного рабочего дня с момента получения; на обращения, требующие проверки расчёта или платежа, — в течение 3 (трёх) рабочих дней.</w:t>
      </w:r>
    </w:p>
    <w:p>
      <w:pPr>
        <w:spacing w:before="0" w:after="0"/>
        <w:ind w:firstLine="709" w:left="0"/>
      </w:pPr>
      <w:r>
        <w:rPr>
          <w:rFonts w:ascii="Times New Roman" w:hAnsi="Times New Roman" w:eastAsia="Times New Roman" w:cs="Times New Roman"/>
          <w:b w:val="0"/>
          <w:sz w:val="24"/>
        </w:rPr>
        <w:t>Претензии направляются на тот же адрес и рассматриваются в срок, установленный договором-офертой.</w:t>
      </w:r>
    </w:p>
    <w:p>
      <w:pPr>
        <w:spacing w:before="0" w:after="0"/>
        <w:ind w:firstLine="709" w:left="0"/>
      </w:pPr>
      <w:r>
        <w:rPr>
          <w:rFonts w:ascii="Times New Roman" w:hAnsi="Times New Roman" w:eastAsia="Times New Roman" w:cs="Times New Roman"/>
          <w:b w:val="0"/>
          <w:sz w:val="24"/>
        </w:rPr>
        <w:t>Общество с ограниченной ответственностью «ТЕНДИК» (ООО «ТЕНДИК»). ОГРН 1267800063630, ИНН 7806637140, КПП 780601001. Адрес: 195027, г. Санкт-Петербург, вн.тер.г. муниципальный округ Большая Охта, ул. Магнитогорская, д. 51, литера А, помещ. 2Н/3Н. Генеральный директор Гундырев Максим Алексеевич. Банковские реквизиты указываются в счёте. Поддержка: support@tendik.ru, +7 993 077-01-68.</w:t>
      </w:r>
    </w:p>
    <w:sectPr w:rsidR="00FC693F" w:rsidRPr="0006063C" w:rsidSect="00034616">
      <w:headerReference w:type="default" r:id="rId9"/>
      <w:pgSz w:w="11906" w:h="16838"/>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center"/>
    </w:pPr>
    <w:fldSimple w:instr=" PAGE ">
      <w:r>
        <w:t>2</w:t>
      </w:r>
    </w:fldSimple>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0"/>
      <w:ind w:firstLine="709"/>
      <w:jc w:val="both"/>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Оплата, возврат и поддержка</dc:title>
  <dc:subject/>
  <dc:creator>ООО «ТЕНДИК»</dc:creator>
  <cp:keywords/>
  <dc:description>generated by python-docx</dc:description>
  <cp:lastModifiedBy/>
  <cp:revision>1</cp:revision>
  <dcterms:created xsi:type="dcterms:W3CDTF">2013-12-23T23:15:00Z</dcterms:created>
  <dcterms:modified xsi:type="dcterms:W3CDTF">2013-12-23T23:15:00Z</dcterms:modified>
  <cp:category/>
</cp:coreProperties>
</file>