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ind w:firstLine="0" w:left="0"/>
        <w:jc w:val="center"/>
      </w:pPr>
      <w:r>
        <w:rPr>
          <w:rFonts w:ascii="Times New Roman" w:hAnsi="Times New Roman" w:eastAsia="Times New Roman" w:cs="Times New Roman"/>
          <w:b/>
          <w:sz w:val="28"/>
        </w:rPr>
        <w:t>ПРАВИЛА ПАРТНЁРСКОЙ ПРОГРАММЫ «ТЕНДИК»</w:t>
      </w:r>
    </w:p>
    <w:p>
      <w:pPr>
        <w:spacing w:before="0" w:after="120"/>
        <w:ind w:firstLine="0" w:left="0"/>
        <w:jc w:val="center"/>
      </w:pPr>
      <w:r>
        <w:rPr>
          <w:rFonts w:ascii="Times New Roman" w:hAnsi="Times New Roman" w:eastAsia="Times New Roman" w:cs="Times New Roman"/>
          <w:b/>
          <w:sz w:val="24"/>
        </w:rPr>
        <w:t>условия участия в партнёрской программе онлайн-сервиса «Тендик»</w:t>
      </w:r>
    </w:p>
    <w:p>
      <w:pPr>
        <w:spacing w:before="0" w:after="0"/>
        <w:ind w:firstLine="0" w:left="0"/>
        <w:jc w:val="left"/>
      </w:pPr>
      <w:r>
        <w:rPr>
          <w:rFonts w:ascii="Times New Roman" w:hAnsi="Times New Roman" w:eastAsia="Times New Roman" w:cs="Times New Roman"/>
          <w:b w:val="0"/>
          <w:sz w:val="24"/>
        </w:rPr>
        <w:t>г. Санкт-Петербург</w:t>
      </w:r>
    </w:p>
    <w:p>
      <w:pPr>
        <w:spacing w:before="0" w:after="0"/>
        <w:ind w:firstLine="0" w:left="0"/>
        <w:jc w:val="left"/>
      </w:pPr>
      <w:r>
        <w:rPr>
          <w:rFonts w:ascii="Times New Roman" w:hAnsi="Times New Roman" w:eastAsia="Times New Roman" w:cs="Times New Roman"/>
          <w:b w:val="0"/>
          <w:color w:val="505A55"/>
          <w:sz w:val="22"/>
        </w:rPr>
        <w:t>Редакция № 3 от 7 сентября 2026 г. Действует с момента размещения на Сайте. Прежние редакции хранятся Обществом и предоставляются по запросу, направленному на адрес электронной почты Общества.</w:t>
      </w:r>
    </w:p>
    <w:p>
      <w:pPr>
        <w:spacing w:before="240" w:after="120"/>
        <w:ind w:firstLine="0" w:left="0"/>
        <w:jc w:val="left"/>
      </w:pPr>
      <w:r>
        <w:rPr>
          <w:rFonts w:ascii="Times New Roman" w:hAnsi="Times New Roman" w:eastAsia="Times New Roman" w:cs="Times New Roman"/>
          <w:b/>
          <w:sz w:val="24"/>
        </w:rPr>
        <w:t>1. Общие положения и термины</w:t>
      </w:r>
    </w:p>
    <w:p>
      <w:pPr>
        <w:spacing w:before="0" w:after="0"/>
        <w:ind w:firstLine="709" w:left="0"/>
      </w:pPr>
      <w:r>
        <w:rPr>
          <w:rFonts w:ascii="Times New Roman" w:hAnsi="Times New Roman" w:eastAsia="Times New Roman" w:cs="Times New Roman"/>
          <w:b w:val="0"/>
          <w:sz w:val="24"/>
        </w:rPr>
        <w:t>1.1. Настоящие Правила являются предложением Общества с ограниченной ответственностью «ТЕНДИК» делать оферты (пункт 1 статьи 437 Гражданского кодекса Российской Федерации) и содержат все условия договора об оказании услуг по привлечению клиентов онлайн-сервиса «Тендик».</w:t>
      </w:r>
    </w:p>
    <w:p>
      <w:pPr>
        <w:spacing w:before="0" w:after="0"/>
        <w:ind w:firstLine="709" w:left="0"/>
      </w:pPr>
      <w:r>
        <w:rPr>
          <w:rFonts w:ascii="Times New Roman" w:hAnsi="Times New Roman" w:eastAsia="Times New Roman" w:cs="Times New Roman"/>
          <w:b w:val="0"/>
          <w:sz w:val="24"/>
        </w:rPr>
        <w:t>1.2. В Правилах используются следующие термины:</w:t>
      </w:r>
    </w:p>
    <w:p>
      <w:pPr>
        <w:spacing w:before="0" w:after="0"/>
        <w:ind w:firstLine="709" w:left="0"/>
      </w:pPr>
      <w:r>
        <w:rPr>
          <w:rFonts w:ascii="Times New Roman" w:hAnsi="Times New Roman" w:eastAsia="Times New Roman" w:cs="Times New Roman"/>
          <w:b w:val="0"/>
          <w:sz w:val="24"/>
        </w:rPr>
        <w:t>Общество — ООО «ТЕНДИК», реквизиты которого указаны в разделе 13 Правил.</w:t>
      </w:r>
    </w:p>
    <w:p>
      <w:pPr>
        <w:spacing w:before="0" w:after="0"/>
        <w:ind w:firstLine="709" w:left="0"/>
      </w:pPr>
      <w:r>
        <w:rPr>
          <w:rFonts w:ascii="Times New Roman" w:hAnsi="Times New Roman" w:eastAsia="Times New Roman" w:cs="Times New Roman"/>
          <w:b w:val="0"/>
          <w:sz w:val="24"/>
        </w:rPr>
        <w:t>Сервис — онлайн-сервис «Тендик», доступный по адресу https://tendik.ru, условия пользования которым определены Публичной офертой Сервиса (https://tendik.ru/oferta.html, далее — Оферта Сервиса).</w:t>
      </w:r>
    </w:p>
    <w:p>
      <w:pPr>
        <w:spacing w:before="0" w:after="0"/>
        <w:ind w:firstLine="709" w:left="0"/>
      </w:pPr>
      <w:r>
        <w:rPr>
          <w:rFonts w:ascii="Times New Roman" w:hAnsi="Times New Roman" w:eastAsia="Times New Roman" w:cs="Times New Roman"/>
          <w:b w:val="0"/>
          <w:sz w:val="24"/>
        </w:rPr>
        <w:t>Сайт — сайт Сервиса https://tendik.ru, включая раздел партнёрской программы по адресу https://ref.tendik.ru.</w:t>
      </w:r>
    </w:p>
    <w:p>
      <w:pPr>
        <w:spacing w:before="0" w:after="0"/>
        <w:ind w:firstLine="709" w:left="0"/>
      </w:pPr>
      <w:r>
        <w:rPr>
          <w:rFonts w:ascii="Times New Roman" w:hAnsi="Times New Roman" w:eastAsia="Times New Roman" w:cs="Times New Roman"/>
          <w:b w:val="0"/>
          <w:sz w:val="24"/>
        </w:rPr>
        <w:t>Личный кабинет — раздел Сервиса, доступный лицу после входа, в котором отображаются Код партнёра, Партнёрская ссылка, перечень закреплённых Клиентов, начисленное вознаграждение и остаток Бонусов.</w:t>
      </w:r>
    </w:p>
    <w:p>
      <w:pPr>
        <w:spacing w:before="0" w:after="0"/>
        <w:ind w:firstLine="709" w:left="0"/>
      </w:pPr>
      <w:r>
        <w:rPr>
          <w:rFonts w:ascii="Times New Roman" w:hAnsi="Times New Roman" w:eastAsia="Times New Roman" w:cs="Times New Roman"/>
          <w:b w:val="0"/>
          <w:sz w:val="24"/>
        </w:rPr>
        <w:t>Программа — партнёрская программа Общества, условия которой определены настоящими Правилами.</w:t>
      </w:r>
    </w:p>
    <w:p>
      <w:pPr>
        <w:spacing w:before="0" w:after="0"/>
        <w:ind w:firstLine="709" w:left="0"/>
      </w:pPr>
      <w:r>
        <w:rPr>
          <w:rFonts w:ascii="Times New Roman" w:hAnsi="Times New Roman" w:eastAsia="Times New Roman" w:cs="Times New Roman"/>
          <w:b w:val="0"/>
          <w:sz w:val="24"/>
        </w:rPr>
        <w:t>Партнёр — юридическое лицо, индивидуальный предприниматель или физическое лицо, применяющее специальный налоговый режим «Налог на профессиональный доход», заключившее договор на условиях Правил в порядке раздела 2 Правил.</w:t>
      </w:r>
    </w:p>
    <w:p>
      <w:pPr>
        <w:spacing w:before="0" w:after="0"/>
        <w:ind w:firstLine="709" w:left="0"/>
      </w:pPr>
      <w:r>
        <w:rPr>
          <w:rFonts w:ascii="Times New Roman" w:hAnsi="Times New Roman" w:eastAsia="Times New Roman" w:cs="Times New Roman"/>
          <w:b w:val="0"/>
          <w:sz w:val="24"/>
        </w:rPr>
        <w:t>Клиент — лицо, закреплённое за Партнёром в порядке раздела 3 Правил и заключившее договор с Обществом на условиях Оферты Сервиса.</w:t>
      </w:r>
    </w:p>
    <w:p>
      <w:pPr>
        <w:spacing w:before="0" w:after="0"/>
        <w:ind w:firstLine="709" w:left="0"/>
      </w:pPr>
      <w:r>
        <w:rPr>
          <w:rFonts w:ascii="Times New Roman" w:hAnsi="Times New Roman" w:eastAsia="Times New Roman" w:cs="Times New Roman"/>
          <w:b w:val="0"/>
          <w:sz w:val="24"/>
        </w:rPr>
        <w:t>Код партнёра — уникальный код, присвоенный Партнёру Обществом. Партнёрская ссылка — гиперссылка на Сайт, содержащая Код партнёра.</w:t>
      </w:r>
    </w:p>
    <w:p>
      <w:pPr>
        <w:spacing w:before="0" w:after="0"/>
        <w:ind w:firstLine="709" w:left="0"/>
      </w:pPr>
      <w:r>
        <w:rPr>
          <w:rFonts w:ascii="Times New Roman" w:hAnsi="Times New Roman" w:eastAsia="Times New Roman" w:cs="Times New Roman"/>
          <w:b w:val="0"/>
          <w:sz w:val="24"/>
        </w:rPr>
        <w:t>Позиция, Ступень, Пул, Период — используются в значении, установленном Офертой Сервиса.</w:t>
      </w:r>
    </w:p>
    <w:p>
      <w:pPr>
        <w:spacing w:before="0" w:after="0"/>
        <w:ind w:firstLine="709" w:left="0"/>
      </w:pPr>
      <w:r>
        <w:rPr>
          <w:rFonts w:ascii="Times New Roman" w:hAnsi="Times New Roman" w:eastAsia="Times New Roman" w:cs="Times New Roman"/>
          <w:b w:val="0"/>
          <w:sz w:val="24"/>
        </w:rPr>
        <w:t>Оплата — сумма, уплаченная Клиентом Обществу за доступ к Сервису по выбранной Ступени, включая продление доступа и оплату доступа на двенадцать Периодов вперёд, без уменьшения на комиссии банков и платёжных сервисов. Иные платежи Клиента Оплатой для целей Правил не являются (п. 4.5 Правил). Часть стоимости, погашенная Бонусами, Оплатой не является. Первая оплата — первая по времени Оплата данного Клиента.</w:t>
      </w:r>
    </w:p>
    <w:p>
      <w:pPr>
        <w:spacing w:before="0" w:after="0"/>
        <w:ind w:firstLine="709" w:left="0"/>
      </w:pPr>
      <w:r>
        <w:rPr>
          <w:rFonts w:ascii="Times New Roman" w:hAnsi="Times New Roman" w:eastAsia="Times New Roman" w:cs="Times New Roman"/>
          <w:b w:val="0"/>
          <w:sz w:val="24"/>
        </w:rPr>
        <w:t>Бонусы — учётные единицы Программы, начисляемые Партнёру и отражаемые в Личном кабинете, используемые способами, предусмотренными разделом 5 Правил. Один Бонус соответствует одному рублю стоимости доступа к Сервису при использовании Бонусов по п. 5.1 Правил; порядок и коэффициент конвертации Бонусов в денежную выплату установлены п. 6.6 Правил.</w:t>
      </w:r>
    </w:p>
    <w:p>
      <w:pPr>
        <w:spacing w:before="0" w:after="0"/>
        <w:ind w:firstLine="709" w:left="0"/>
      </w:pPr>
      <w:r>
        <w:rPr>
          <w:rFonts w:ascii="Times New Roman" w:hAnsi="Times New Roman" w:eastAsia="Times New Roman" w:cs="Times New Roman"/>
          <w:b w:val="0"/>
          <w:sz w:val="24"/>
        </w:rPr>
        <w:t>Термины, не определённые Правилами, используются в значении, установленном Офертой Сервиса.</w:t>
      </w:r>
    </w:p>
    <w:p>
      <w:pPr>
        <w:spacing w:before="0" w:after="0"/>
        <w:ind w:firstLine="709" w:left="0"/>
      </w:pPr>
      <w:r>
        <w:rPr>
          <w:rFonts w:ascii="Times New Roman" w:hAnsi="Times New Roman" w:eastAsia="Times New Roman" w:cs="Times New Roman"/>
          <w:b w:val="0"/>
          <w:sz w:val="24"/>
        </w:rPr>
        <w:t>1.3. Предметом договора является оказание Партнёром услуг по информированию третьих лиц о Сервисе и побуждению их к самостоятельному заключению договора с Обществом на условиях Оферты Сервиса, а также вознаграждение за такие услуги в форме и на условиях, определённых Правилами.</w:t>
      </w:r>
    </w:p>
    <w:p>
      <w:pPr>
        <w:spacing w:before="0" w:after="0"/>
        <w:ind w:firstLine="709" w:left="0"/>
      </w:pPr>
      <w:r>
        <w:rPr>
          <w:rFonts w:ascii="Times New Roman" w:hAnsi="Times New Roman" w:eastAsia="Times New Roman" w:cs="Times New Roman"/>
          <w:b w:val="0"/>
          <w:sz w:val="24"/>
        </w:rPr>
        <w:t>1.4. Договор, заключаемый на условиях Правил, не является агентским договором, договором поручения или комиссии. Партнёр действует от своего имени, не является представителем Общества, не вправе заключать сделки от имени Общества, принимать от Клиентов оплату, давать от имени Общества обещания и гарантии, вести переговоры об условиях, отличных от размещённых на Сайте. Партнёр оказывает услуги за свой счёт и своими средствами; Общество не возмещает Партнёру расходы на информирование третьих лиц. Определение размера вознаграждения в процентах от Оплаты является исключительно способом определения цены услуг Партнёра (пункт 1 статьи 424 ГК РФ) и не означает, что Партнёр действует за счёт Общества. Партнёр не совершает юридических действий в интересах Общества, не получает от Общества поручений и указаний, не представляет отчёты агента и самостоятельно определяет способы и средства информирования третьих лиц.</w:t>
      </w:r>
    </w:p>
    <w:p>
      <w:pPr>
        <w:spacing w:before="240" w:after="120"/>
        <w:ind w:firstLine="0" w:left="0"/>
        <w:jc w:val="left"/>
      </w:pPr>
      <w:r>
        <w:rPr>
          <w:rFonts w:ascii="Times New Roman" w:hAnsi="Times New Roman" w:eastAsia="Times New Roman" w:cs="Times New Roman"/>
          <w:b/>
          <w:sz w:val="24"/>
        </w:rPr>
        <w:t>2. Акцепт и участие в Программе</w:t>
      </w:r>
    </w:p>
    <w:p>
      <w:pPr>
        <w:spacing w:before="0" w:after="0"/>
        <w:ind w:firstLine="709" w:left="0"/>
      </w:pPr>
      <w:r>
        <w:rPr>
          <w:rFonts w:ascii="Times New Roman" w:hAnsi="Times New Roman" w:eastAsia="Times New Roman" w:cs="Times New Roman"/>
          <w:b w:val="0"/>
          <w:sz w:val="24"/>
        </w:rPr>
        <w:t>2.1. Заявка на участие в Программе подаётся в Личном кабинете и является офертой заявителя заключить договор на условиях Правил. В заявке указываются идентификационный номер налогоплательщика заявителя, номер телефона, способ связи в мессенджере, статус лица (юридическое лицо, индивидуальный предприниматель или плательщик налога на профессиональный доход) и выбранная форма вознаграждения (п. 4.1 Правил). Заявка принимается только при подтверждении заявителем согласия с Правилами; дата и время подтверждения, сетевой адрес заявителя и номер редакции Правил фиксируются Обществом и хранятся в течение срока действия договора и трёх лет после его прекращения.</w:t>
      </w:r>
    </w:p>
    <w:p>
      <w:pPr>
        <w:spacing w:before="0" w:after="0"/>
        <w:ind w:firstLine="709" w:left="0"/>
      </w:pPr>
      <w:r>
        <w:rPr>
          <w:rFonts w:ascii="Times New Roman" w:hAnsi="Times New Roman" w:eastAsia="Times New Roman" w:cs="Times New Roman"/>
          <w:b w:val="0"/>
          <w:sz w:val="24"/>
        </w:rPr>
        <w:t>2.2. Договор считается заключённым с момента присвоения Обществом Кода партнёра (пункт 3 статьи 438 ГК РФ) в редакции Правил, действующей на дату присвоения Кода, с учётом п. 9.2 Правил. Код партнёра, Партнёрская ссылка и условия начисления вознаграждения отображаются в Личном кабинете; отдельное уведомление о присвоении Кода Общество не направляет.</w:t>
      </w:r>
    </w:p>
    <w:p>
      <w:pPr>
        <w:spacing w:before="0" w:after="0"/>
        <w:ind w:firstLine="709" w:left="0"/>
      </w:pPr>
      <w:r>
        <w:rPr>
          <w:rFonts w:ascii="Times New Roman" w:hAnsi="Times New Roman" w:eastAsia="Times New Roman" w:cs="Times New Roman"/>
          <w:b w:val="0"/>
          <w:sz w:val="24"/>
        </w:rPr>
        <w:t>2.3. Заявку на участие в Программе вправе подать зарегистрированное в Сервисе юридическое лицо, индивидуальный предприниматель либо физическое лицо, применяющее налог на профессиональный доход (п. 1.2 Правил). Иным лицам Код партнёра не присваивается. Наличие оплаченной Ступени для участия не требуется. Одно лицо участвует в Программе один раз: второй Код партнёра тому же лицу не присваивается.</w:t>
      </w:r>
    </w:p>
    <w:p>
      <w:pPr>
        <w:spacing w:before="0" w:after="0"/>
        <w:ind w:firstLine="709" w:left="0"/>
      </w:pPr>
      <w:r>
        <w:rPr>
          <w:rFonts w:ascii="Times New Roman" w:hAnsi="Times New Roman" w:eastAsia="Times New Roman" w:cs="Times New Roman"/>
          <w:b w:val="0"/>
          <w:sz w:val="24"/>
        </w:rPr>
        <w:t>2.4. Общество вправе заблокировать Код партнёра при наличии оснований, предусмотренных разделом 8 Правил. С момента блокировки Кода переходы по Партнёрской ссылке не учитываются и новые Клиенты за Партнёром не закрепляются. Прекращение участия Партнёра в Программе по инициативе Общества при отсутствии нарушения Правил допускается с уведомлением по электронной почте не менее чем за 30 (тридцать) календарных дней; вознаграждение по Клиентам, закреплённым до даты уведомления, начисляется и выплачивается до истечения срока, установленного п. 4.4 Правил. Последствия прекращения определены разделами 8 и 9 Правил.</w:t>
      </w:r>
    </w:p>
    <w:p>
      <w:pPr>
        <w:spacing w:before="0" w:after="0"/>
        <w:ind w:firstLine="709" w:left="0"/>
      </w:pPr>
      <w:r>
        <w:rPr>
          <w:rFonts w:ascii="Times New Roman" w:hAnsi="Times New Roman" w:eastAsia="Times New Roman" w:cs="Times New Roman"/>
          <w:b w:val="0"/>
          <w:sz w:val="24"/>
        </w:rPr>
        <w:t>2.5. Партнёр участвует в Программе в целях получения дохода от оказания услуг. К отношениям, возникающим из настоящих Правил в части оказания Партнёром услуг Обществу и начисления (выплаты) вознаграждения, законодательство о защите прав потребителей не применяется. К отношениям Партнёра с Обществом как пользователя Сервиса, в том числе при получении дополнительных Позиций за Бонусы (п. 5.1 Правил), применяется Оферта Сервиса.</w:t>
      </w:r>
    </w:p>
    <w:p>
      <w:pPr>
        <w:spacing w:before="240" w:after="120"/>
        <w:ind w:firstLine="0" w:left="0"/>
        <w:jc w:val="left"/>
      </w:pPr>
      <w:r>
        <w:rPr>
          <w:rFonts w:ascii="Times New Roman" w:hAnsi="Times New Roman" w:eastAsia="Times New Roman" w:cs="Times New Roman"/>
          <w:b/>
          <w:sz w:val="24"/>
        </w:rPr>
        <w:t>3. Привлечение и закрепление Клиента</w:t>
      </w:r>
    </w:p>
    <w:p>
      <w:pPr>
        <w:spacing w:before="0" w:after="0"/>
        <w:ind w:firstLine="709" w:left="0"/>
      </w:pPr>
      <w:r>
        <w:rPr>
          <w:rFonts w:ascii="Times New Roman" w:hAnsi="Times New Roman" w:eastAsia="Times New Roman" w:cs="Times New Roman"/>
          <w:b w:val="0"/>
          <w:sz w:val="24"/>
        </w:rPr>
        <w:t>3.1. Клиентом Партнёра признаётся лицо, которое при регистрации в Сервисе указало Код партнёра либо до регистрации перешло на Сайт по Партнёрской ссылке. Если при регистрации указан Код партнёра, закрепление производится по этому Коду независимо от ранее совершённых переходов.</w:t>
      </w:r>
    </w:p>
    <w:p>
      <w:pPr>
        <w:spacing w:before="0" w:after="0"/>
        <w:ind w:firstLine="709" w:left="0"/>
      </w:pPr>
      <w:r>
        <w:rPr>
          <w:rFonts w:ascii="Times New Roman" w:hAnsi="Times New Roman" w:eastAsia="Times New Roman" w:cs="Times New Roman"/>
          <w:b w:val="0"/>
          <w:sz w:val="24"/>
        </w:rPr>
        <w:t>3.2. Если Код партнёра при регистрации не указан, закрепление производится по последнему по времени переходу по Партнёрской ссылке, совершённому до регистрации: переход по Партнёрской ссылке другого Партнёра, совершённый позднее, отменяет учёт предыдущего перехода. Срок между учитываемым переходом и регистрацией не должен превышать 90 (девяноста) календарных дней. Учёт переходов ведётся техническими средствами Общества; если браузер лица не сохраняет данные о переходе, лицо вправе указать Код партнёра при регистрации.</w:t>
      </w:r>
    </w:p>
    <w:p>
      <w:pPr>
        <w:spacing w:before="0" w:after="0"/>
        <w:ind w:firstLine="709" w:left="0"/>
      </w:pPr>
      <w:r>
        <w:rPr>
          <w:rFonts w:ascii="Times New Roman" w:hAnsi="Times New Roman" w:eastAsia="Times New Roman" w:cs="Times New Roman"/>
          <w:b w:val="0"/>
          <w:sz w:val="24"/>
        </w:rPr>
        <w:t>3.3. Лицо, зарегистрированное в Сервисе до перехода по Партнёрской ссылке или указания Кода партнёра, за Партнёром автоматически не закрепляется. Закрепление такого лица за Партнёром производится Обществом в исключительных случаях по его усмотрению и при условии, что за этим лицом не закреплён другой Партнёр; требовать такого закрепления Партнёр не вправе.</w:t>
      </w:r>
    </w:p>
    <w:p>
      <w:pPr>
        <w:spacing w:before="0" w:after="0"/>
        <w:ind w:firstLine="709" w:left="0"/>
      </w:pPr>
      <w:r>
        <w:rPr>
          <w:rFonts w:ascii="Times New Roman" w:hAnsi="Times New Roman" w:eastAsia="Times New Roman" w:cs="Times New Roman"/>
          <w:b w:val="0"/>
          <w:sz w:val="24"/>
        </w:rPr>
        <w:t>3.4. За Клиентом сохраняется закрепление за одним Партнёром. Закрепление, произведённое в порядке пп. 3.1–3.3 Правил, в дальнейшем не изменяется, в том числе по просьбе Клиента или Партнёра. Повторное закрепление того же лица, в том числе после новой регистрации, не производится.</w:t>
      </w:r>
    </w:p>
    <w:p>
      <w:pPr>
        <w:spacing w:before="0" w:after="0"/>
        <w:ind w:firstLine="709" w:left="0"/>
      </w:pPr>
      <w:r>
        <w:rPr>
          <w:rFonts w:ascii="Times New Roman" w:hAnsi="Times New Roman" w:eastAsia="Times New Roman" w:cs="Times New Roman"/>
          <w:b w:val="0"/>
          <w:sz w:val="24"/>
        </w:rPr>
        <w:t>3.5. Спорные вопросы закрепления Клиентов Общество разрешает на основании собственных технических данных. Партнёр вправе оспорить решение Общества в порядке раздела 12 Правил.</w:t>
      </w:r>
    </w:p>
    <w:p>
      <w:pPr>
        <w:spacing w:before="240" w:after="120"/>
        <w:ind w:firstLine="0" w:left="0"/>
        <w:jc w:val="left"/>
      </w:pPr>
      <w:r>
        <w:rPr>
          <w:rFonts w:ascii="Times New Roman" w:hAnsi="Times New Roman" w:eastAsia="Times New Roman" w:cs="Times New Roman"/>
          <w:b/>
          <w:sz w:val="24"/>
        </w:rPr>
        <w:t>4. Начисление вознаграждения</w:t>
      </w:r>
    </w:p>
    <w:p>
      <w:pPr>
        <w:spacing w:before="0" w:after="0"/>
        <w:ind w:firstLine="709" w:left="0"/>
      </w:pPr>
      <w:r>
        <w:rPr>
          <w:rFonts w:ascii="Times New Roman" w:hAnsi="Times New Roman" w:eastAsia="Times New Roman" w:cs="Times New Roman"/>
          <w:b w:val="0"/>
          <w:sz w:val="24"/>
        </w:rPr>
        <w:t>4.1. Вознаграждение начисляется в одной из двух форм: Бонусами либо в денежной форме. Форма вознаграждения выбирается Партнёром при подаче заявки (п. 2.1 Правил) и изменяется по обращению Партнёра на адрес электронной почты Общества; изменение применяется к начислениям, произведённым после его внесения. Партнёру, применяющему налог на профессиональный доход, вознаграждение начисляется и выплачивается только в денежной форме; способ использования Бонусов, предусмотренный п. 5.1 (а) Правил, к нему не применяется.</w:t>
      </w:r>
    </w:p>
    <w:p>
      <w:pPr>
        <w:spacing w:before="0" w:after="0"/>
        <w:ind w:firstLine="709" w:left="0"/>
      </w:pPr>
      <w:r>
        <w:rPr>
          <w:rFonts w:ascii="Times New Roman" w:hAnsi="Times New Roman" w:eastAsia="Times New Roman" w:cs="Times New Roman"/>
          <w:b w:val="0"/>
          <w:sz w:val="24"/>
        </w:rPr>
        <w:t>4.2. За Первую оплату Клиента Партнёру начисляется вознаграждение в размере 25 % (двадцати пяти процентов) от суммы Первой оплаты в форме Бонусов. Партнёру, получающему вознаграждение в денежной форме, за Первую оплату Клиента причитается 20 % (двадцать процентов) от суммы Первой оплаты; этот размер обеспечивается коэффициентом конвертации, установленным п. 6.6 Правил, либо прямым начислением в денежной форме.</w:t>
      </w:r>
    </w:p>
    <w:p>
      <w:pPr>
        <w:spacing w:before="0" w:after="0"/>
        <w:ind w:firstLine="709" w:left="0"/>
      </w:pPr>
      <w:r>
        <w:rPr>
          <w:rFonts w:ascii="Times New Roman" w:hAnsi="Times New Roman" w:eastAsia="Times New Roman" w:cs="Times New Roman"/>
          <w:b w:val="0"/>
          <w:sz w:val="24"/>
        </w:rPr>
        <w:t>4.3. За каждую последующую Оплату того же Клиента Партнёру начисляется вознаграждение в размере 5 % (пяти процентов) от суммы Оплаты. При выплате в денежной форме такое вознаграждение конвертируется из расчёта один Бонус равен одному рублю.</w:t>
      </w:r>
    </w:p>
    <w:p>
      <w:pPr>
        <w:spacing w:before="0" w:after="0"/>
        <w:ind w:firstLine="709" w:left="0"/>
      </w:pPr>
      <w:r>
        <w:rPr>
          <w:rFonts w:ascii="Times New Roman" w:hAnsi="Times New Roman" w:eastAsia="Times New Roman" w:cs="Times New Roman"/>
          <w:b w:val="0"/>
          <w:sz w:val="24"/>
        </w:rPr>
        <w:t>4.4. Вознаграждение начисляется за Оплаты, поступившие Обществу в течение 12 (двенадцати) месяцев с даты закрепления Клиента за Партнёром. Оплаты, поступившие по истечении этого срока, вознаграждения не порождают, в том числе если по истечении этого срока совершена Первая оплата.</w:t>
      </w:r>
    </w:p>
    <w:p>
      <w:pPr>
        <w:spacing w:before="0" w:after="0"/>
        <w:ind w:firstLine="709" w:left="0"/>
      </w:pPr>
      <w:r>
        <w:rPr>
          <w:rFonts w:ascii="Times New Roman" w:hAnsi="Times New Roman" w:eastAsia="Times New Roman" w:cs="Times New Roman"/>
          <w:b w:val="0"/>
          <w:sz w:val="24"/>
        </w:rPr>
        <w:t>4.5. Базой начисления является сумма Оплаты (п. 1.2 Правил). Учитываются Оплаты, совершённые самим закреплённым за Партнёром лицом. Не учитываются и Оплатой не признаются: приобретение дополнительных Позиций сверх Пула, оплата подключения сайтов поставщиков, ознакомительный (демонстрационный) доступ, Позиции, предоставленные Обществом безвозмездно, оплаты по договорам на индивидуальных условиях, если Общество письменно не согласовало иное, а также любые платежи, не являющиеся оплатой доступа к Сервису.</w:t>
      </w:r>
    </w:p>
    <w:p>
      <w:pPr>
        <w:spacing w:before="0" w:after="0"/>
        <w:ind w:firstLine="709" w:left="0"/>
      </w:pPr>
      <w:r>
        <w:rPr>
          <w:rFonts w:ascii="Times New Roman" w:hAnsi="Times New Roman" w:eastAsia="Times New Roman" w:cs="Times New Roman"/>
          <w:b w:val="0"/>
          <w:sz w:val="24"/>
        </w:rPr>
        <w:t>4.6. Начисление производится автоматически после фактического поступления Оплаты Обществу и отражается в Личном кабинете. Общество вправе проверить правомерность начисления в течение 12 (двенадцати) месяцев с даты начисления. Приостановление использования Бонусов и выплат на время проверки допускается однократно по каждому начислению, на срок не более 30 (тридцати) календарных дней, с одновременным уведомлением Партнёра по электронной почте о причине проверки. По истечении этого срока приостановление прекращается, а начисление считается подтверждённым, если Общество не заявило о нарушении в порядке п. 8.1 Правил.</w:t>
      </w:r>
    </w:p>
    <w:p>
      <w:pPr>
        <w:spacing w:before="0" w:after="0"/>
        <w:ind w:firstLine="709" w:left="0"/>
      </w:pPr>
      <w:r>
        <w:rPr>
          <w:rFonts w:ascii="Times New Roman" w:hAnsi="Times New Roman" w:eastAsia="Times New Roman" w:cs="Times New Roman"/>
          <w:b w:val="0"/>
          <w:sz w:val="24"/>
        </w:rPr>
        <w:t>4.7. При возврате Оплаты Клиенту, отмене платежа, оспаривании платежа банком (chargeback) или ином неполучении Обществом суммы Оплаты Общество вправе пересчитать либо аннулировать начисленное вознаграждение, уведомив Партнёра с указанием основания и расчёта. Если вознаграждение уже использовано или выплачено, разница удерживается из последующих начислений Партнёру, а при их недостаточности подлежит возврату Партнёром по требованию Общества в течение 10 (десяти) рабочих дней.</w:t>
      </w:r>
    </w:p>
    <w:p>
      <w:pPr>
        <w:spacing w:before="0" w:after="0"/>
        <w:ind w:firstLine="709" w:left="0"/>
      </w:pPr>
      <w:r>
        <w:rPr>
          <w:rFonts w:ascii="Times New Roman" w:hAnsi="Times New Roman" w:eastAsia="Times New Roman" w:cs="Times New Roman"/>
          <w:b w:val="0"/>
          <w:sz w:val="24"/>
        </w:rPr>
        <w:t>4.8. Начисление вознаграждения производится независимо от приостановления доступа Партнёра к Сервису как его пользователя. Если такой доступ приостановлен по основаниям, предусмотренным Офертой Сервиса, либо участие в Программе приостановлено по п. 8.4 Правил, использование Бонусов и выплаты приостанавливаются до устранения основания приостановления. После устранения основания либо если основание не подтвердилось, начисленное за этот период вознаграждение используется и выплачивается в полном объёме, если по итогам проверки к Партнёру не применены последствия, предусмотренные разделом 8 Правил.</w:t>
      </w:r>
    </w:p>
    <w:p>
      <w:pPr>
        <w:spacing w:before="0" w:after="0"/>
        <w:ind w:firstLine="709" w:left="0"/>
      </w:pPr>
      <w:r>
        <w:rPr>
          <w:rFonts w:ascii="Times New Roman" w:hAnsi="Times New Roman" w:eastAsia="Times New Roman" w:cs="Times New Roman"/>
          <w:b w:val="0"/>
          <w:sz w:val="24"/>
        </w:rPr>
        <w:t>4.9. Бонусы не являются денежными средствами, электронными денежными средствами или ценными бумагами, не подлежат обмену на деньги иначе как в порядке раздела 6 Правил, на них не начисляются проценты, они не передаются третьим лицам иначе как в порядке п. 5.1 (б) Правил.</w:t>
      </w:r>
    </w:p>
    <w:p>
      <w:pPr>
        <w:spacing w:before="0" w:after="0"/>
        <w:ind w:firstLine="709" w:left="0"/>
      </w:pPr>
      <w:r>
        <w:rPr>
          <w:rFonts w:ascii="Times New Roman" w:hAnsi="Times New Roman" w:eastAsia="Times New Roman" w:cs="Times New Roman"/>
          <w:b w:val="0"/>
          <w:sz w:val="24"/>
        </w:rPr>
        <w:t>4.10. Бонусы, не использованные в течение 12 (двенадцати) месяцев с даты начисления, аннулируются.</w:t>
      </w:r>
    </w:p>
    <w:p>
      <w:pPr>
        <w:spacing w:before="0" w:after="0"/>
        <w:ind w:firstLine="709" w:left="0"/>
      </w:pPr>
      <w:r>
        <w:rPr>
          <w:rFonts w:ascii="Times New Roman" w:hAnsi="Times New Roman" w:eastAsia="Times New Roman" w:cs="Times New Roman"/>
          <w:b w:val="0"/>
          <w:sz w:val="24"/>
        </w:rPr>
        <w:t>4.11. Вознаграждение не начисляется за Оплаты самого Партнёра, а также за Оплаты организации, идентификационный номер налогоплательщика которой совпадает с указанным Партнёром в заявке. Такие лица отображаются в Личном кабинете в перечне закреплённых с отметкой о том, что вознаграждение по ним не начисляется.</w:t>
      </w:r>
    </w:p>
    <w:p>
      <w:pPr>
        <w:spacing w:before="240" w:after="120"/>
        <w:ind w:firstLine="0" w:left="0"/>
        <w:jc w:val="left"/>
      </w:pPr>
      <w:r>
        <w:rPr>
          <w:rFonts w:ascii="Times New Roman" w:hAnsi="Times New Roman" w:eastAsia="Times New Roman" w:cs="Times New Roman"/>
          <w:b/>
          <w:sz w:val="24"/>
        </w:rPr>
        <w:t>5. Использование Бонусов</w:t>
      </w:r>
    </w:p>
    <w:p>
      <w:pPr>
        <w:spacing w:before="0" w:after="0"/>
        <w:ind w:firstLine="709" w:left="0"/>
      </w:pPr>
      <w:r>
        <w:rPr>
          <w:rFonts w:ascii="Times New Roman" w:hAnsi="Times New Roman" w:eastAsia="Times New Roman" w:cs="Times New Roman"/>
          <w:b w:val="0"/>
          <w:sz w:val="24"/>
        </w:rPr>
        <w:t>5.1. Партнёр использует Бонусы следующими способами: (а) при оплате Периода по выбранной Ступени — в форме дополнительных Позиций сверх Пула Ступени по стоимости одной Позиции этой Ступени; (б) передав Бонусы закреплённому за ним Клиенту; (в) конвертировав Бонусы в денежную выплату в порядке раздела 6 Правил.</w:t>
      </w:r>
    </w:p>
    <w:p>
      <w:pPr>
        <w:spacing w:before="0" w:after="0"/>
        <w:ind w:firstLine="709" w:left="0"/>
      </w:pPr>
      <w:r>
        <w:rPr>
          <w:rFonts w:ascii="Times New Roman" w:hAnsi="Times New Roman" w:eastAsia="Times New Roman" w:cs="Times New Roman"/>
          <w:b w:val="0"/>
          <w:sz w:val="24"/>
        </w:rPr>
        <w:t>5.2. Способ, предусмотренный п. 5.1 (а) Правил, применяется автоматически: при оплате Периода имеющиеся у Партнёра Бонусы списываются и предоставляются дополнительными Позициями сверх Пула оплаченной Ступени. Автоматическое списание не производится и Бонусы сохраняются, если Партнёр выбрал денежную форму вознаграждения (п. 4.1 Правил). До оплаты Периода Позиции за Бонусы не предоставляются. Предоставленные за Бонусы Позиции зачисляются в общий остаток Позиций и используются на условиях Оферты Сервиса. При оплате Периода организацией списываются Бонусы того Пользователя, который совершает оплату. Бонусы иных Пользователей этой организации списываются только по распоряжению каждого из них, данному в Личном кабинете до оплаты; Пользователь вправе отменить такое распоряжение в любой момент, и с момента отмены его Бонусы при оплате Периода организацией не списываются. В порядке настоящего пункта используются в том числе Бонусы, полученные Пользователем по п. 5.1 (б) Правил.</w:t>
      </w:r>
    </w:p>
    <w:p>
      <w:pPr>
        <w:spacing w:before="0" w:after="0"/>
        <w:ind w:firstLine="709" w:left="0"/>
      </w:pPr>
      <w:r>
        <w:rPr>
          <w:rFonts w:ascii="Times New Roman" w:hAnsi="Times New Roman" w:eastAsia="Times New Roman" w:cs="Times New Roman"/>
          <w:b w:val="0"/>
          <w:sz w:val="24"/>
        </w:rPr>
        <w:t>5.3. Количество дополнительных Позиций определяется делением числа списываемых Бонусов на стоимость одной Позиции соответствующей Ступени; списывается не более числа Бонусов, имеющихся у Партнёра. Часть стоимости доступа к Сервису, погашенная Бонусами, Оплатой в смысле п. 1.2 Правил не является и вознаграждения другим Партнёрам не порождает.</w:t>
      </w:r>
    </w:p>
    <w:p>
      <w:pPr>
        <w:spacing w:before="0" w:after="0"/>
        <w:ind w:firstLine="709" w:left="0"/>
      </w:pPr>
      <w:r>
        <w:rPr>
          <w:rFonts w:ascii="Times New Roman" w:hAnsi="Times New Roman" w:eastAsia="Times New Roman" w:cs="Times New Roman"/>
          <w:b w:val="0"/>
          <w:sz w:val="24"/>
        </w:rPr>
        <w:t>5.4. Передача Бонусов по п. 5.1 (б) Правил производится по заявлению Партнёра в Личном кабинете и допускается только в пользу лица, закреплённого за этим Партнёром. Передача является исполнением Обществом обязательства перед Партнёром; отношений между Партнёром и Клиентом по поводу оплаты доступа к Сервису такая передача не создаёт, и Партнёр не вправе обусловливать её какими-либо обязательствами Клиента перед собой. Переданные Бонусы возврату Партнёру не подлежат.</w:t>
      </w:r>
    </w:p>
    <w:p>
      <w:pPr>
        <w:spacing w:before="0" w:after="0"/>
        <w:ind w:firstLine="709" w:left="0"/>
      </w:pPr>
      <w:r>
        <w:rPr>
          <w:rFonts w:ascii="Times New Roman" w:hAnsi="Times New Roman" w:eastAsia="Times New Roman" w:cs="Times New Roman"/>
          <w:b w:val="0"/>
          <w:sz w:val="24"/>
        </w:rPr>
        <w:t>5.5. Полученные Клиентом Бонусы используются им способом, предусмотренным п. 5.1 (а) Правил, в порядке пп. 5.2 и 5.3 Правил.</w:t>
      </w:r>
    </w:p>
    <w:p>
      <w:pPr>
        <w:spacing w:before="240" w:after="120"/>
        <w:ind w:firstLine="0" w:left="0"/>
        <w:jc w:val="left"/>
      </w:pPr>
      <w:r>
        <w:rPr>
          <w:rFonts w:ascii="Times New Roman" w:hAnsi="Times New Roman" w:eastAsia="Times New Roman" w:cs="Times New Roman"/>
          <w:b/>
          <w:sz w:val="24"/>
        </w:rPr>
        <w:t>6. Денежная выплата</w:t>
      </w:r>
    </w:p>
    <w:p>
      <w:pPr>
        <w:spacing w:before="0" w:after="0"/>
        <w:ind w:firstLine="709" w:left="0"/>
      </w:pPr>
      <w:r>
        <w:rPr>
          <w:rFonts w:ascii="Times New Roman" w:hAnsi="Times New Roman" w:eastAsia="Times New Roman" w:cs="Times New Roman"/>
          <w:b w:val="0"/>
          <w:sz w:val="24"/>
        </w:rPr>
        <w:t>6.1. Право на получение вознаграждения в денежной форме имеют Партнёры — российские юридические лица, индивидуальные предприниматели, зарегистрированные в Российской Федерации, и физические лица — налоговые резиденты Российской Федерации, применяющие налог на профессиональный доход. Иные физические лица Партнёрами не являются (п. 1.2 Правил).</w:t>
      </w:r>
    </w:p>
    <w:p>
      <w:pPr>
        <w:spacing w:before="0" w:after="0"/>
        <w:ind w:firstLine="709" w:left="0"/>
      </w:pPr>
      <w:r>
        <w:rPr>
          <w:rFonts w:ascii="Times New Roman" w:hAnsi="Times New Roman" w:eastAsia="Times New Roman" w:cs="Times New Roman"/>
          <w:b w:val="0"/>
          <w:sz w:val="24"/>
        </w:rPr>
        <w:t>6.2. Для получения выплаты Партнёр сообщает Обществу через Личный кабинет или по электронной почте наименование, идентификационный номер налогоплательщика, банковские реквизиты и, для плательщика налога на профессиональный доход, подтверждение постановки на учёт. Общество вправе запросить документы, подтверждающие статус и реквизиты Партнёра, и приостановить выплату до их получения, если запрос с указанием перечня документов направлен Партнёру не позднее 5 (пяти) рабочих дней с даты подачи заявления о выплате.</w:t>
      </w:r>
    </w:p>
    <w:p>
      <w:pPr>
        <w:spacing w:before="0" w:after="0"/>
        <w:ind w:firstLine="709" w:left="0"/>
      </w:pPr>
      <w:r>
        <w:rPr>
          <w:rFonts w:ascii="Times New Roman" w:hAnsi="Times New Roman" w:eastAsia="Times New Roman" w:cs="Times New Roman"/>
          <w:b w:val="0"/>
          <w:sz w:val="24"/>
        </w:rPr>
        <w:t>6.3. Выплата производится по заявлению Партнёра, поданному в Личном кабинете, при сумме к выплате не менее 1 000 (одной тысячи) рублей; при меньшей сумме заявление не подаётся, а остаток сохраняется за Партнёром с учётом п. 4.10 Правил. Выплата производится не позднее 15 (пятнадцатого) числа месяца, следующего за месяцем подачи заявления, в безналичной форме на счёт Партнёра в банке на территории Российской Федерации.</w:t>
      </w:r>
    </w:p>
    <w:p>
      <w:pPr>
        <w:spacing w:before="0" w:after="0"/>
        <w:ind w:firstLine="709" w:left="0"/>
      </w:pPr>
      <w:r>
        <w:rPr>
          <w:rFonts w:ascii="Times New Roman" w:hAnsi="Times New Roman" w:eastAsia="Times New Roman" w:cs="Times New Roman"/>
          <w:b w:val="0"/>
          <w:sz w:val="24"/>
        </w:rPr>
        <w:t>6.4. Акт об оказанных услугах автоматически не формируется. Партнёру — юридическому лицу или индивидуальному предпринимателю акт за период, за который произведена выплата, составляется и направляется по запросу Партнёра, поданному через Личный кабинет или на адрес электронной почты Общества, в течение 10 (десяти) рабочих дней с даты получения запроса; по письменному запросу оригинал акта направляется на бумажном носителе. Акт считается принятым, если Партнёр не направил мотивированные возражения в течение 5 (пяти) рабочих дней с даты направления акта. При получении мотивированных возражений стороны согласовывают сумму в течение 10 (десяти) рабочих дней, и признанная сторонами разница выплачивается или возвращается в течение 10 (десяти) рабочих дней с даты её согласования. Составление акта условием выплаты не является: выплата производится в срок, установленный п. 6.3 Правил, независимо от того, запрошен и направлен ли акт. Партнёр — плательщик налога на профессиональный доход обязан передать Обществу чек, сформированный в порядке статьи 14 Федерального закона от 27.11.2018 № 422-ФЗ «О проведении эксперимента по установлению специального налогового режима «Налог на профессиональный доход»», в течение 3 (трёх) рабочих дней с даты получения выплаты; до передачи чека последующие выплаты приостанавливаются.</w:t>
      </w:r>
    </w:p>
    <w:p>
      <w:pPr>
        <w:spacing w:before="0" w:after="0"/>
        <w:ind w:firstLine="709" w:left="0"/>
      </w:pPr>
      <w:r>
        <w:rPr>
          <w:rFonts w:ascii="Times New Roman" w:hAnsi="Times New Roman" w:eastAsia="Times New Roman" w:cs="Times New Roman"/>
          <w:b w:val="0"/>
          <w:sz w:val="24"/>
        </w:rPr>
        <w:t>6.5. Партнёр самостоятельно исчисляет и уплачивает налоги и сборы с полученного вознаграждения. Партнёр обязан уведомить Общество об утрате статуса индивидуального предпринимателя или плательщика налога на профессиональный доход не позднее дня утраты; выплаты, произведённые после утраты статуса до получения такого уведомления, Партнёр возвращает Обществу по его требованию.</w:t>
      </w:r>
    </w:p>
    <w:p>
      <w:pPr>
        <w:spacing w:before="0" w:after="0"/>
        <w:ind w:firstLine="709" w:left="0"/>
      </w:pPr>
      <w:r>
        <w:rPr>
          <w:rFonts w:ascii="Times New Roman" w:hAnsi="Times New Roman" w:eastAsia="Times New Roman" w:cs="Times New Roman"/>
          <w:b w:val="0"/>
          <w:sz w:val="24"/>
        </w:rPr>
        <w:t>6.6. При выплате в денежной форме Бонусы, начисленные за Первую оплату Клиента, конвертируются с коэффициентом 0,8 — один Бонус равен 80 (восьмидесяти) копейкам; Бонусы, начисленные по п. 4.3 Правил, конвертируются из расчёта один Бонус равен одному рублю. Очерёдность списания при конвертации определяется от ранее начисленных Бонусов к более поздним. Произведённая конвертация пересмотру не подлежит; обратная конвертация денежной выплаты в Бонусы не производится. Партнёру, применяющему налог на профессиональный доход, вознаграждение начисляется в денежной форме, и коэффициент, установленный настоящим пунктом, к нему не применяется.</w:t>
      </w:r>
    </w:p>
    <w:p>
      <w:pPr>
        <w:spacing w:before="0" w:after="0"/>
        <w:ind w:firstLine="709" w:left="0"/>
      </w:pPr>
      <w:r>
        <w:rPr>
          <w:rFonts w:ascii="Times New Roman" w:hAnsi="Times New Roman" w:eastAsia="Times New Roman" w:cs="Times New Roman"/>
          <w:b w:val="0"/>
          <w:sz w:val="24"/>
        </w:rPr>
        <w:t>6.7. Суммы вознаграждения включают налог на добавленную стоимость, если Партнёр является его плательщиком, и все иные налоги и сборы, подлежащие уплате Партнёром в связи с получением вознаграждения.</w:t>
      </w:r>
    </w:p>
    <w:p>
      <w:pPr>
        <w:spacing w:before="240" w:after="120"/>
        <w:ind w:firstLine="0" w:left="0"/>
        <w:jc w:val="left"/>
      </w:pPr>
      <w:r>
        <w:rPr>
          <w:rFonts w:ascii="Times New Roman" w:hAnsi="Times New Roman" w:eastAsia="Times New Roman" w:cs="Times New Roman"/>
          <w:b/>
          <w:sz w:val="24"/>
        </w:rPr>
        <w:t>7. Обязанности и запреты Партнёра</w:t>
      </w:r>
    </w:p>
    <w:p>
      <w:pPr>
        <w:spacing w:before="0" w:after="0"/>
        <w:ind w:firstLine="709" w:left="0"/>
      </w:pPr>
      <w:r>
        <w:rPr>
          <w:rFonts w:ascii="Times New Roman" w:hAnsi="Times New Roman" w:eastAsia="Times New Roman" w:cs="Times New Roman"/>
          <w:b w:val="0"/>
          <w:sz w:val="24"/>
        </w:rPr>
        <w:t>7.1. Партнёр обязуется при информировании о Сервисе использовать только сведения, размещённые на Сайте, не сообщать цены и условия, отличные от размещённых на Сайте, не обещать от имени Общества какого-либо результата, в том числе победы в закупке, экономии или определённого размера маржи.</w:t>
      </w:r>
    </w:p>
    <w:p>
      <w:pPr>
        <w:spacing w:before="0" w:after="0"/>
        <w:ind w:firstLine="709" w:left="0"/>
      </w:pPr>
      <w:r>
        <w:rPr>
          <w:rFonts w:ascii="Times New Roman" w:hAnsi="Times New Roman" w:eastAsia="Times New Roman" w:cs="Times New Roman"/>
          <w:b w:val="0"/>
          <w:sz w:val="24"/>
        </w:rPr>
        <w:t>7.2. Партнёр самостоятельно отвечает за соблюдение законодательства о рекламе при распространении сведений о Сервисе, в том числе: не распространяет рекламу по сетям электросвязи без предварительного согласия адресата (часть 1 статьи 18 Федерального закона от 13.03.2006 № 38-ФЗ «О рекламе»), не рассылает сообщения о Сервисе массово по адресам, телефонам и аккаунтам, владельцы которых не давали согласия на их получение; обеспечивает маркировку рекламы, присвоение идентификатора рекламы оператором рекламных данных и передачу сведений в единый реестр интернет-рекламы (статья 18.1 Закона о рекламе), если размещение является рекламой. Общество не предоставляет Партнёру готовых рекламных материалов и текстов для рассылки.</w:t>
      </w:r>
    </w:p>
    <w:p>
      <w:pPr>
        <w:spacing w:before="0" w:after="0"/>
        <w:ind w:firstLine="709" w:left="0"/>
      </w:pPr>
      <w:r>
        <w:rPr>
          <w:rFonts w:ascii="Times New Roman" w:hAnsi="Times New Roman" w:eastAsia="Times New Roman" w:cs="Times New Roman"/>
          <w:b w:val="0"/>
          <w:sz w:val="24"/>
        </w:rPr>
        <w:t>7.3. Партнёру запрещается:</w:t>
      </w:r>
    </w:p>
    <w:p>
      <w:pPr>
        <w:spacing w:before="0" w:after="0"/>
        <w:ind w:firstLine="709" w:left="0"/>
      </w:pPr>
      <w:r>
        <w:rPr>
          <w:rFonts w:ascii="Times New Roman" w:hAnsi="Times New Roman" w:eastAsia="Times New Roman" w:cs="Times New Roman"/>
          <w:b w:val="0"/>
          <w:sz w:val="24"/>
        </w:rPr>
        <w:t>(а) размещать контекстную и таргетированную рекламу по запросам, содержащим обозначение «Тендик», «Tendik», tendik.ru и сходные с ними, а также по любым запросам без письменного согласия Общества; переходы из поисковых систем по рекламным объявлениям в Программе не учитываются;</w:t>
      </w:r>
    </w:p>
    <w:p>
      <w:pPr>
        <w:spacing w:before="0" w:after="0"/>
        <w:ind w:firstLine="709" w:left="0"/>
      </w:pPr>
      <w:r>
        <w:rPr>
          <w:rFonts w:ascii="Times New Roman" w:hAnsi="Times New Roman" w:eastAsia="Times New Roman" w:cs="Times New Roman"/>
          <w:b w:val="0"/>
          <w:sz w:val="24"/>
        </w:rPr>
        <w:t>(б) выдавать свои сайты, страницы, аккаунты и сообщения за официальные ресурсы Общества, использовать обозначение «Тендик» и сходные в доменных именах, наименованиях аккаунтов и сообществ;</w:t>
      </w:r>
    </w:p>
    <w:p>
      <w:pPr>
        <w:spacing w:before="0" w:after="0"/>
        <w:ind w:firstLine="709" w:left="0"/>
      </w:pPr>
      <w:r>
        <w:rPr>
          <w:rFonts w:ascii="Times New Roman" w:hAnsi="Times New Roman" w:eastAsia="Times New Roman" w:cs="Times New Roman"/>
          <w:b w:val="0"/>
          <w:sz w:val="24"/>
        </w:rPr>
        <w:t>(в) применять принудительную переадресацию, скрытые ссылки, автоматические переходы и иные технические приёмы, при которых переход по Партнёрской ссылке происходит без осознанного действия пользователя;</w:t>
      </w:r>
    </w:p>
    <w:p>
      <w:pPr>
        <w:spacing w:before="0" w:after="0"/>
        <w:ind w:firstLine="709" w:left="0"/>
      </w:pPr>
      <w:r>
        <w:rPr>
          <w:rFonts w:ascii="Times New Roman" w:hAnsi="Times New Roman" w:eastAsia="Times New Roman" w:cs="Times New Roman"/>
          <w:b w:val="0"/>
          <w:sz w:val="24"/>
        </w:rPr>
        <w:t>(г) полностью или частично компенсировать Клиентам стоимость доступа к Сервису, предлагать им вознаграждение за регистрацию или оплату без письменного согласия Общества; передача Бонусов Клиенту в порядке п. 5.1 (б) Правил нарушением настоящего подпункта не является;</w:t>
      </w:r>
    </w:p>
    <w:p>
      <w:pPr>
        <w:spacing w:before="0" w:after="0"/>
        <w:ind w:firstLine="709" w:left="0"/>
      </w:pPr>
      <w:r>
        <w:rPr>
          <w:rFonts w:ascii="Times New Roman" w:hAnsi="Times New Roman" w:eastAsia="Times New Roman" w:cs="Times New Roman"/>
          <w:b w:val="0"/>
          <w:sz w:val="24"/>
        </w:rPr>
        <w:t>(д) регистрировать Клиентов для собственного пользования и получать вознаграждение за собственные Оплаты; Партнёр и Клиент не могут быть одним лицом, одной организацией или лицами с одним идентификационным номером налогоплательщика; Клиентами не признаются работники, участники, руководители Партнёра и лица, аффилированные с Партнёром (статья 53.2 ГК РФ, статья 4 Закона РСФСР от 22.03.1991 № 948-1);</w:t>
      </w:r>
    </w:p>
    <w:p>
      <w:pPr>
        <w:spacing w:before="0" w:after="0"/>
        <w:ind w:firstLine="709" w:left="0"/>
      </w:pPr>
      <w:r>
        <w:rPr>
          <w:rFonts w:ascii="Times New Roman" w:hAnsi="Times New Roman" w:eastAsia="Times New Roman" w:cs="Times New Roman"/>
          <w:b w:val="0"/>
          <w:sz w:val="24"/>
        </w:rPr>
        <w:t>(е) создавать фиктивные регистрации и оплаты, использовать чужие данные, автоматизированные средства регистрации;</w:t>
      </w:r>
    </w:p>
    <w:p>
      <w:pPr>
        <w:spacing w:before="0" w:after="0"/>
        <w:ind w:firstLine="709" w:left="0"/>
      </w:pPr>
      <w:r>
        <w:rPr>
          <w:rFonts w:ascii="Times New Roman" w:hAnsi="Times New Roman" w:eastAsia="Times New Roman" w:cs="Times New Roman"/>
          <w:b w:val="0"/>
          <w:sz w:val="24"/>
        </w:rPr>
        <w:t>(ж) размещать сведения о Сервисе на ресурсах, содержание которых нарушает законодательство Российской Федерации, а также в сообщениях, нарушающих правила площадок, на которых они размещены.</w:t>
      </w:r>
    </w:p>
    <w:p>
      <w:pPr>
        <w:spacing w:before="0" w:after="0"/>
        <w:ind w:firstLine="709" w:left="0"/>
      </w:pPr>
      <w:r>
        <w:rPr>
          <w:rFonts w:ascii="Times New Roman" w:hAnsi="Times New Roman" w:eastAsia="Times New Roman" w:cs="Times New Roman"/>
          <w:b w:val="0"/>
          <w:sz w:val="24"/>
        </w:rPr>
        <w:t>7.4. Партнёр возмещает Обществу убытки, причинённые нарушением Правил, включая суммы административных штрафов, наложенных на Общество вследствие действий Партнёра, и расходы на юридическую защиту, в течение 10 (десяти) рабочих дней с даты получения требования. Общество вправе зачесть такие суммы в счёт начисленного Партнёру вознаграждения.</w:t>
      </w:r>
    </w:p>
    <w:p>
      <w:pPr>
        <w:spacing w:before="240" w:after="120"/>
        <w:ind w:firstLine="0" w:left="0"/>
        <w:jc w:val="left"/>
      </w:pPr>
      <w:r>
        <w:rPr>
          <w:rFonts w:ascii="Times New Roman" w:hAnsi="Times New Roman" w:eastAsia="Times New Roman" w:cs="Times New Roman"/>
          <w:b/>
          <w:sz w:val="24"/>
        </w:rPr>
        <w:t>8. Нарушения и их последствия</w:t>
      </w:r>
    </w:p>
    <w:p>
      <w:pPr>
        <w:spacing w:before="0" w:after="0"/>
        <w:ind w:firstLine="709" w:left="0"/>
      </w:pPr>
      <w:r>
        <w:rPr>
          <w:rFonts w:ascii="Times New Roman" w:hAnsi="Times New Roman" w:eastAsia="Times New Roman" w:cs="Times New Roman"/>
          <w:b w:val="0"/>
          <w:sz w:val="24"/>
        </w:rPr>
        <w:t>8.1. При первом нарушении Правил, кроме нарушений, последствия которых установлены п. 8.2 и п. 8.3 Правил, Общество направляет Партнёру предупреждение и аннулирует вознаграждение и закрепление Клиентов, связанные с нарушением.</w:t>
      </w:r>
    </w:p>
    <w:p>
      <w:pPr>
        <w:spacing w:before="0" w:after="0"/>
        <w:ind w:firstLine="709" w:left="0"/>
      </w:pPr>
      <w:r>
        <w:rPr>
          <w:rFonts w:ascii="Times New Roman" w:hAnsi="Times New Roman" w:eastAsia="Times New Roman" w:cs="Times New Roman"/>
          <w:b w:val="0"/>
          <w:sz w:val="24"/>
        </w:rPr>
        <w:t>8.2. При повторном нарушении Правил, а также при нарушении п. 7.2 Правил независимо от его повторности Общество прекращает участие Партнёра в Программе на будущее: Код партнёра блокируется, новые Клиенты за Партнёром не закрепляются. Аннулируются вознаграждение и закрепления Клиентов, связанные с нарушением. Вознаграждение, начисленное по Клиентам, привлечение которых нарушением не затронуто, сохраняется, используется и выплачивается в порядке п. 9.3 Правил.</w:t>
      </w:r>
    </w:p>
    <w:p>
      <w:pPr>
        <w:spacing w:before="0" w:after="0"/>
        <w:ind w:firstLine="709" w:left="0"/>
      </w:pPr>
      <w:r>
        <w:rPr>
          <w:rFonts w:ascii="Times New Roman" w:hAnsi="Times New Roman" w:eastAsia="Times New Roman" w:cs="Times New Roman"/>
          <w:b w:val="0"/>
          <w:sz w:val="24"/>
        </w:rPr>
        <w:t>8.3. При нарушении пп. 7.3 (д) и 7.3 (е) Правил — привлечении самого Партнёра и связанных с ним лиц, создании фиктивных регистраций и оплат — независимо от его повторности Общество прекращает участие Партнёра в Программе; все Бонусы и закрепления Клиентов Партнёра аннулируются, невыплаченное вознаграждение не выплачивается. О применении последствий, предусмотренных настоящим пунктом, Общество уведомляет Партнёра по электронной почте с указанием основания и расчёта аннулированных сумм.</w:t>
      </w:r>
    </w:p>
    <w:p>
      <w:pPr>
        <w:spacing w:before="0" w:after="0"/>
        <w:ind w:firstLine="709" w:left="0"/>
      </w:pPr>
      <w:r>
        <w:rPr>
          <w:rFonts w:ascii="Times New Roman" w:hAnsi="Times New Roman" w:eastAsia="Times New Roman" w:cs="Times New Roman"/>
          <w:b w:val="0"/>
          <w:sz w:val="24"/>
        </w:rPr>
        <w:t>8.4. На время проверки обстоятельств возможного нарушения Общество вправе приостановить начисление, использование Бонусов и выплаты на срок до 60 (шестидесяти) календарных дней, заблокировав Код партнёра. На время блокировки Кода переходы по Партнёрской ссылке не учитываются и новые Клиенты за Партнёром не закрепляются; закрепление Клиентов, произведённое до блокировки, сохраняется.</w:t>
      </w:r>
    </w:p>
    <w:p>
      <w:pPr>
        <w:spacing w:before="0" w:after="0"/>
        <w:ind w:firstLine="709" w:left="0"/>
      </w:pPr>
      <w:r>
        <w:rPr>
          <w:rFonts w:ascii="Times New Roman" w:hAnsi="Times New Roman" w:eastAsia="Times New Roman" w:cs="Times New Roman"/>
          <w:b w:val="0"/>
          <w:sz w:val="24"/>
        </w:rPr>
        <w:t>8.5. Общество вправе аннулировать Бонусы и вознаграждение, начисленные с нарушением Правил или вследствие технической ошибки, в течение 12 (двенадцати) месяцев с даты начисления, уведомив Партнёра с указанием основания и расчёта.</w:t>
      </w:r>
    </w:p>
    <w:p>
      <w:pPr>
        <w:spacing w:before="240" w:after="120"/>
        <w:ind w:firstLine="0" w:left="0"/>
        <w:jc w:val="left"/>
      </w:pPr>
      <w:r>
        <w:rPr>
          <w:rFonts w:ascii="Times New Roman" w:hAnsi="Times New Roman" w:eastAsia="Times New Roman" w:cs="Times New Roman"/>
          <w:b/>
          <w:sz w:val="24"/>
        </w:rPr>
        <w:t>9. Изменение и прекращение Программы</w:t>
      </w:r>
    </w:p>
    <w:p>
      <w:pPr>
        <w:spacing w:before="0" w:after="0"/>
        <w:ind w:firstLine="709" w:left="0"/>
      </w:pPr>
      <w:r>
        <w:rPr>
          <w:rFonts w:ascii="Times New Roman" w:hAnsi="Times New Roman" w:eastAsia="Times New Roman" w:cs="Times New Roman"/>
          <w:b w:val="0"/>
          <w:sz w:val="24"/>
        </w:rPr>
        <w:t>9.1. Общество вправе в одностороннем порядке изменять Правила, в том числе размеры и сроки начисления вознаграждения, приостанавливать и прекращать Программу. Изменения размещаются на Сайте и доводятся до Партнёра по адресу электронной почты, указанному при регистрации в Сервисе, и вступают в силу не ранее чем через 10 (десять) календарных дней с даты размещения, если в новой редакции не указан более поздний срок. Партнёр, не согласный с изменениями, вправе в течение указанного срока прекратить участие в Программе в порядке п. 9.4 Правил. В отношении Партнёра, являющегося физическим лицом, изменения применяются к начислениям, произведённым после того, как он продолжил участие в Программе по истечении срока, установленного настоящим пунктом (п. 9.5 Правил).</w:t>
      </w:r>
    </w:p>
    <w:p>
      <w:pPr>
        <w:spacing w:before="0" w:after="0"/>
        <w:ind w:firstLine="709" w:left="0"/>
      </w:pPr>
      <w:r>
        <w:rPr>
          <w:rFonts w:ascii="Times New Roman" w:hAnsi="Times New Roman" w:eastAsia="Times New Roman" w:cs="Times New Roman"/>
          <w:b w:val="0"/>
          <w:sz w:val="24"/>
        </w:rPr>
        <w:t>9.2. Новая редакция применяется к Оплатам, поступившим после её вступления в силу, в том числе по Клиентам, закреплённым ранее. Вознаграждение, начисленное до вступления в силу новой редакции, сохраняется и используется по правилам, действовавшим на дату начисления, за исключением случаев, предусмотренных разделом 8 Правил.</w:t>
      </w:r>
    </w:p>
    <w:p>
      <w:pPr>
        <w:spacing w:before="0" w:after="0"/>
        <w:ind w:firstLine="709" w:left="0"/>
      </w:pPr>
      <w:r>
        <w:rPr>
          <w:rFonts w:ascii="Times New Roman" w:hAnsi="Times New Roman" w:eastAsia="Times New Roman" w:cs="Times New Roman"/>
          <w:b w:val="0"/>
          <w:sz w:val="24"/>
        </w:rPr>
        <w:t>9.3. При прекращении Программы или участия Партнёра в ней по инициативе Общества, кроме случая, предусмотренного п. 8.3 Правил, Партнёр вправе использовать начисленные Бонусы и получить причитающуюся денежную выплату в течение 30 (тридцати) календарных дней с даты уведомления, а по вознаграждению, начисляемому после уведомления в порядке п. 2.4 Правил, — в течение 30 (тридцати) календарных дней с даты каждого такого начисления; по истечении соответствующего срока Бонусы аннулируются. Бонусы Партнёра, имеющего право на денежную выплату (п. 6.1 Правил), конвертируются по п. 6.6 Правил и выплачиваются в порядке раздела 6 Правил; минимальная сумма выплаты, установленная п. 6.3 Правил, в этом случае не применяется.</w:t>
      </w:r>
    </w:p>
    <w:p>
      <w:pPr>
        <w:spacing w:before="0" w:after="0"/>
        <w:ind w:firstLine="709" w:left="0"/>
      </w:pPr>
      <w:r>
        <w:rPr>
          <w:rFonts w:ascii="Times New Roman" w:hAnsi="Times New Roman" w:eastAsia="Times New Roman" w:cs="Times New Roman"/>
          <w:b w:val="0"/>
          <w:sz w:val="24"/>
        </w:rPr>
        <w:t>9.4. Партнёр вправе прекратить участие в Программе в любой момент уведомлением на адрес электронной почты Общества. Ранее начисленное вознаграждение используется и выплачивается в порядке, установленном п. 9.3 Правил.</w:t>
      </w:r>
    </w:p>
    <w:p>
      <w:pPr>
        <w:spacing w:before="0" w:after="0"/>
        <w:ind w:firstLine="709" w:left="0"/>
      </w:pPr>
      <w:r>
        <w:rPr>
          <w:rFonts w:ascii="Times New Roman" w:hAnsi="Times New Roman" w:eastAsia="Times New Roman" w:cs="Times New Roman"/>
          <w:b w:val="0"/>
          <w:sz w:val="24"/>
        </w:rPr>
        <w:t>9.5. Продолжение участия в Программе после вступления изменений в силу означает согласие Партнёра с новой редакцией Правил.</w:t>
      </w:r>
    </w:p>
    <w:p>
      <w:pPr>
        <w:spacing w:before="240" w:after="120"/>
        <w:ind w:firstLine="0" w:left="0"/>
        <w:jc w:val="left"/>
      </w:pPr>
      <w:r>
        <w:rPr>
          <w:rFonts w:ascii="Times New Roman" w:hAnsi="Times New Roman" w:eastAsia="Times New Roman" w:cs="Times New Roman"/>
          <w:b/>
          <w:sz w:val="24"/>
        </w:rPr>
        <w:t>10. Ответственность и ограничения</w:t>
      </w:r>
    </w:p>
    <w:p>
      <w:pPr>
        <w:spacing w:before="0" w:after="0"/>
        <w:ind w:firstLine="709" w:left="0"/>
      </w:pPr>
      <w:r>
        <w:rPr>
          <w:rFonts w:ascii="Times New Roman" w:hAnsi="Times New Roman" w:eastAsia="Times New Roman" w:cs="Times New Roman"/>
          <w:b w:val="0"/>
          <w:sz w:val="24"/>
        </w:rPr>
        <w:t>10.1. Общество не гарантирует Партнёру какого-либо объёма привлечения Клиентов, Оплат и вознаграждения.</w:t>
      </w:r>
    </w:p>
    <w:p>
      <w:pPr>
        <w:spacing w:before="0" w:after="0"/>
        <w:ind w:firstLine="709" w:left="0"/>
      </w:pPr>
      <w:r>
        <w:rPr>
          <w:rFonts w:ascii="Times New Roman" w:hAnsi="Times New Roman" w:eastAsia="Times New Roman" w:cs="Times New Roman"/>
          <w:b w:val="0"/>
          <w:sz w:val="24"/>
        </w:rPr>
        <w:t>10.2. Общество не отвечает за неучёт перехода по Партнёрской ссылке вследствие настроек браузера, программ блокировки, действий пользователя или третьих лиц; спорные случаи разрешаются по п. 3.5 Правил.</w:t>
      </w:r>
    </w:p>
    <w:p>
      <w:pPr>
        <w:spacing w:before="0" w:after="0"/>
        <w:ind w:firstLine="709" w:left="0"/>
      </w:pPr>
      <w:r>
        <w:rPr>
          <w:rFonts w:ascii="Times New Roman" w:hAnsi="Times New Roman" w:eastAsia="Times New Roman" w:cs="Times New Roman"/>
          <w:b w:val="0"/>
          <w:sz w:val="24"/>
        </w:rPr>
        <w:t>10.3. Совокупная ответственность Общества перед Партнёром ограничена суммой вознаграждения, начисленного Партнёру за 3 (три) календарных месяца, предшествующих возникновению основания ответственности. Упущенная выгода возмещению не подлежит. Если за указанный период вознаграждение Партнёру не начислялось, предел ответственности Общества составляет 10 000 (десять тысяч) рублей. Ограничение, установленное настоящим пунктом, не применяется к убыткам, причинённым умышленным нарушением Обществом обязательств по договору (пункт 4 статьи 401 ГК РФ).</w:t>
      </w:r>
    </w:p>
    <w:p>
      <w:pPr>
        <w:spacing w:before="0" w:after="0"/>
        <w:ind w:firstLine="709" w:left="0"/>
      </w:pPr>
      <w:r>
        <w:rPr>
          <w:rFonts w:ascii="Times New Roman" w:hAnsi="Times New Roman" w:eastAsia="Times New Roman" w:cs="Times New Roman"/>
          <w:b w:val="0"/>
          <w:sz w:val="24"/>
        </w:rPr>
        <w:t>10.4. Стороны освобождаются от ответственности за неисполнение обязательств вследствие обстоятельств непреодолимой силы (пункт 3 статьи 401 ГК РФ) на время действия таких обстоятельств. Сторона, для которой такие обстоятельства наступили, уведомляет об этом другую сторону в течение 14 (четырнадцати) календарных дней с даты их наступления.</w:t>
      </w:r>
    </w:p>
    <w:p>
      <w:pPr>
        <w:spacing w:before="240" w:after="120"/>
        <w:ind w:firstLine="0" w:left="0"/>
        <w:jc w:val="left"/>
      </w:pPr>
      <w:r>
        <w:rPr>
          <w:rFonts w:ascii="Times New Roman" w:hAnsi="Times New Roman" w:eastAsia="Times New Roman" w:cs="Times New Roman"/>
          <w:b/>
          <w:sz w:val="24"/>
        </w:rPr>
        <w:t>11. Персональные данные и конфиденциальность</w:t>
      </w:r>
    </w:p>
    <w:p>
      <w:pPr>
        <w:spacing w:before="0" w:after="0"/>
        <w:ind w:firstLine="709" w:left="0"/>
      </w:pPr>
      <w:r>
        <w:rPr>
          <w:rFonts w:ascii="Times New Roman" w:hAnsi="Times New Roman" w:eastAsia="Times New Roman" w:cs="Times New Roman"/>
          <w:b w:val="0"/>
          <w:sz w:val="24"/>
        </w:rPr>
        <w:t>11.1. Персональные данные Партнёра — физического лица обрабатываются Обществом в соответствии с Федеральным законом от 27.07.2006 № 152-ФЗ «О персональных данных» и Политикой в отношении обработки персональных данных (https://tendik.ru/politika-pdn.html) в целях исполнения договора, начисления и выплаты вознаграждения и исполнения обязанностей, предусмотренных законодательством о налогах и сборах.</w:t>
      </w:r>
    </w:p>
    <w:p>
      <w:pPr>
        <w:spacing w:before="0" w:after="0"/>
        <w:ind w:firstLine="709" w:left="0"/>
      </w:pPr>
      <w:r>
        <w:rPr>
          <w:rFonts w:ascii="Times New Roman" w:hAnsi="Times New Roman" w:eastAsia="Times New Roman" w:cs="Times New Roman"/>
          <w:b w:val="0"/>
          <w:sz w:val="24"/>
        </w:rPr>
        <w:t>11.2. Партнёр не передаёт Обществу персональные данные привлекаемых лиц; привлечение осуществляется исключительно путём предоставления таким лицам Партнёрской ссылки или Кода партнёра.</w:t>
      </w:r>
    </w:p>
    <w:p>
      <w:pPr>
        <w:spacing w:before="0" w:after="0"/>
        <w:ind w:firstLine="709" w:left="0"/>
      </w:pPr>
      <w:r>
        <w:rPr>
          <w:rFonts w:ascii="Times New Roman" w:hAnsi="Times New Roman" w:eastAsia="Times New Roman" w:cs="Times New Roman"/>
          <w:b w:val="0"/>
          <w:sz w:val="24"/>
        </w:rPr>
        <w:t>11.3. Сведения о Клиентах отображаются Партнёру в Личном кабинете в обезличенном виде. Такие сведения, а также суммы начислений являются конфиденциальными и не подлежат раскрытию третьим лицам.</w:t>
      </w:r>
    </w:p>
    <w:p>
      <w:pPr>
        <w:spacing w:before="240" w:after="120"/>
        <w:ind w:firstLine="0" w:left="0"/>
        <w:jc w:val="left"/>
      </w:pPr>
      <w:r>
        <w:rPr>
          <w:rFonts w:ascii="Times New Roman" w:hAnsi="Times New Roman" w:eastAsia="Times New Roman" w:cs="Times New Roman"/>
          <w:b/>
          <w:sz w:val="24"/>
        </w:rPr>
        <w:t>12. Претензии, споры и прочие условия</w:t>
      </w:r>
    </w:p>
    <w:p>
      <w:pPr>
        <w:spacing w:before="0" w:after="0"/>
        <w:ind w:firstLine="709" w:left="0"/>
      </w:pPr>
      <w:r>
        <w:rPr>
          <w:rFonts w:ascii="Times New Roman" w:hAnsi="Times New Roman" w:eastAsia="Times New Roman" w:cs="Times New Roman"/>
          <w:b w:val="0"/>
          <w:sz w:val="24"/>
        </w:rPr>
        <w:t>12.1. Споры разрешаются в претензионном порядке. Претензия направляется на адрес электронной почты стороны (для Общества — support@tendik.ru, для Партнёра — адрес, указанный при регистрации в Сервисе) и рассматривается в течение 15 (пятнадцати) рабочих дней с даты направления. По истечении указанного срока либо при получении отказа в удовлетворении претензии сторона вправе обратиться в суд. Стороны признают направление претензии по электронной почте надлежащим соблюдением досудебного порядка урегулирования спора (часть 5 статьи 4 АПК РФ).</w:t>
      </w:r>
    </w:p>
    <w:p>
      <w:pPr>
        <w:spacing w:before="0" w:after="0"/>
        <w:ind w:firstLine="709" w:left="0"/>
      </w:pPr>
      <w:r>
        <w:rPr>
          <w:rFonts w:ascii="Times New Roman" w:hAnsi="Times New Roman" w:eastAsia="Times New Roman" w:cs="Times New Roman"/>
          <w:b w:val="0"/>
          <w:sz w:val="24"/>
        </w:rPr>
        <w:t>12.2. Споры с Партнёрами — юридическими лицами и индивидуальными предпринимателями, не урегулированные в претензионном порядке, рассматриваются в Арбитражном суде города Санкт-Петербурга и Ленинградской области (статья 37 АПК РФ). Споры с иными Партнёрами рассматриваются судом в соответствии с законодательством Российской Федерации.</w:t>
      </w:r>
    </w:p>
    <w:p>
      <w:pPr>
        <w:spacing w:before="0" w:after="0"/>
        <w:ind w:firstLine="709" w:left="0"/>
      </w:pPr>
      <w:r>
        <w:rPr>
          <w:rFonts w:ascii="Times New Roman" w:hAnsi="Times New Roman" w:eastAsia="Times New Roman" w:cs="Times New Roman"/>
          <w:b w:val="0"/>
          <w:sz w:val="24"/>
        </w:rPr>
        <w:t>12.3. Документы и уведомления, направленные по адресам электронной почты сторон (для Партнёра — адрес, указанный при регистрации в Сервисе), имеют юридическую силу документов, совершённых в простой письменной форме.</w:t>
      </w:r>
    </w:p>
    <w:p>
      <w:pPr>
        <w:spacing w:before="0" w:after="0"/>
        <w:ind w:firstLine="709" w:left="0"/>
      </w:pPr>
      <w:r>
        <w:rPr>
          <w:rFonts w:ascii="Times New Roman" w:hAnsi="Times New Roman" w:eastAsia="Times New Roman" w:cs="Times New Roman"/>
          <w:b w:val="0"/>
          <w:sz w:val="24"/>
        </w:rPr>
        <w:t>12.4. При расхождении сведений, направленных Обществом по электронной почте, и сведений, размещённых на Сайте, надлежащими признаются сведения, размещённые на Сайте.</w:t>
      </w:r>
    </w:p>
    <w:p>
      <w:pPr>
        <w:spacing w:before="0" w:after="0"/>
        <w:ind w:firstLine="709" w:left="0"/>
      </w:pPr>
      <w:r>
        <w:rPr>
          <w:rFonts w:ascii="Times New Roman" w:hAnsi="Times New Roman" w:eastAsia="Times New Roman" w:cs="Times New Roman"/>
          <w:b w:val="0"/>
          <w:sz w:val="24"/>
        </w:rPr>
        <w:t>12.5. Стороны обязуются не совершать действий, квалифицируемых законодательством Российской Федерации о противодействии коррупции как дача или получение взятки, коммерческий подкуп, посредничество и иное незаконное вознаграждение. При выявлении таких действий сторона вправе в одностороннем внесудебном порядке отказаться от исполнения договора, уведомив об этом другую сторону; убытки, вызванные таким отказом, стороны друг другу не возмещают.</w:t>
      </w:r>
    </w:p>
    <w:p>
      <w:pPr>
        <w:spacing w:before="0" w:after="0"/>
        <w:ind w:firstLine="709" w:left="0"/>
      </w:pPr>
      <w:r>
        <w:rPr>
          <w:rFonts w:ascii="Times New Roman" w:hAnsi="Times New Roman" w:eastAsia="Times New Roman" w:cs="Times New Roman"/>
          <w:b w:val="0"/>
          <w:sz w:val="24"/>
        </w:rPr>
        <w:t>12.6. Партнёр не вправе уступать права и переводить обязанности по договору третьим лицам без письменного согласия Общества.</w:t>
      </w:r>
    </w:p>
    <w:p>
      <w:pPr>
        <w:spacing w:before="0" w:after="0"/>
        <w:ind w:firstLine="709" w:left="0"/>
      </w:pPr>
      <w:r>
        <w:rPr>
          <w:rFonts w:ascii="Times New Roman" w:hAnsi="Times New Roman" w:eastAsia="Times New Roman" w:cs="Times New Roman"/>
          <w:b w:val="0"/>
          <w:sz w:val="24"/>
        </w:rPr>
        <w:t>12.7. Во всём, что не урегулировано Правилами, стороны руководствуются Офертой Сервиса и законодательством Российской Федерации. Язык договора и переписки сторон — русский. К отношениям сторон применяется право Российской Федерации.</w:t>
      </w:r>
    </w:p>
    <w:p>
      <w:pPr>
        <w:spacing w:before="240" w:after="120"/>
        <w:ind w:firstLine="0" w:left="0"/>
        <w:jc w:val="left"/>
      </w:pPr>
      <w:r>
        <w:rPr>
          <w:rFonts w:ascii="Times New Roman" w:hAnsi="Times New Roman" w:eastAsia="Times New Roman" w:cs="Times New Roman"/>
          <w:b/>
          <w:sz w:val="24"/>
        </w:rPr>
        <w:t>13. Реквизиты Общества</w:t>
      </w:r>
    </w:p>
    <w:p>
      <w:pPr>
        <w:spacing w:before="0" w:after="0"/>
        <w:ind w:firstLine="709" w:left="0"/>
      </w:pPr>
      <w:r>
        <w:rPr>
          <w:rFonts w:ascii="Times New Roman" w:hAnsi="Times New Roman" w:eastAsia="Times New Roman" w:cs="Times New Roman"/>
          <w:b w:val="0"/>
          <w:sz w:val="24"/>
        </w:rPr>
        <w:t>Общество с ограниченной ответственностью «ТЕНДИК» (ООО «ТЕНДИК»)</w:t>
      </w:r>
    </w:p>
    <w:p>
      <w:pPr>
        <w:spacing w:before="0" w:after="0"/>
        <w:ind w:firstLine="709" w:left="0"/>
      </w:pPr>
      <w:r>
        <w:rPr>
          <w:rFonts w:ascii="Times New Roman" w:hAnsi="Times New Roman" w:eastAsia="Times New Roman" w:cs="Times New Roman"/>
          <w:b w:val="0"/>
          <w:sz w:val="24"/>
        </w:rPr>
        <w:t>ОГРН 1267800063630</w:t>
      </w:r>
    </w:p>
    <w:p>
      <w:pPr>
        <w:spacing w:before="0" w:after="0"/>
        <w:ind w:firstLine="709" w:left="0"/>
      </w:pPr>
      <w:r>
        <w:rPr>
          <w:rFonts w:ascii="Times New Roman" w:hAnsi="Times New Roman" w:eastAsia="Times New Roman" w:cs="Times New Roman"/>
          <w:b w:val="0"/>
          <w:sz w:val="24"/>
        </w:rPr>
        <w:t>ИНН 7806637140, КПП 780601001</w:t>
      </w:r>
    </w:p>
    <w:p>
      <w:pPr>
        <w:spacing w:before="0" w:after="0"/>
        <w:ind w:firstLine="709" w:left="0"/>
      </w:pPr>
      <w:r>
        <w:rPr>
          <w:rFonts w:ascii="Times New Roman" w:hAnsi="Times New Roman" w:eastAsia="Times New Roman" w:cs="Times New Roman"/>
          <w:b w:val="0"/>
          <w:sz w:val="24"/>
        </w:rPr>
        <w:t>Адрес: 195027, г. Санкт-Петербург, вн.тер.г. муниципальный округ Большая Охта, ул. Магнитогорская, д. 51, литера А, помещ. 2Н/3Н</w:t>
      </w:r>
    </w:p>
    <w:p>
      <w:pPr>
        <w:spacing w:before="0" w:after="0"/>
        <w:ind w:firstLine="709" w:left="0"/>
      </w:pPr>
      <w:r>
        <w:rPr>
          <w:rFonts w:ascii="Times New Roman" w:hAnsi="Times New Roman" w:eastAsia="Times New Roman" w:cs="Times New Roman"/>
          <w:b w:val="0"/>
          <w:sz w:val="24"/>
        </w:rPr>
        <w:t>Адрес электронной почты для юридически значимых сообщений: support@tendik.ru</w:t>
      </w:r>
    </w:p>
    <w:p>
      <w:pPr>
        <w:spacing w:before="0" w:after="0"/>
        <w:ind w:firstLine="709" w:left="0"/>
      </w:pPr>
      <w:r>
        <w:rPr>
          <w:rFonts w:ascii="Times New Roman" w:hAnsi="Times New Roman" w:eastAsia="Times New Roman" w:cs="Times New Roman"/>
          <w:b w:val="0"/>
          <w:sz w:val="24"/>
        </w:rPr>
        <w:t>Телефон: +7 993 077-01-68</w:t>
      </w:r>
    </w:p>
    <w:p>
      <w:pPr>
        <w:spacing w:before="0" w:after="0"/>
        <w:ind w:firstLine="709" w:left="0"/>
      </w:pPr>
      <w:r>
        <w:rPr>
          <w:rFonts w:ascii="Times New Roman" w:hAnsi="Times New Roman" w:eastAsia="Times New Roman" w:cs="Times New Roman"/>
          <w:b w:val="0"/>
          <w:sz w:val="24"/>
        </w:rPr>
        <w:t>Сайт: https://tendik.ru, раздел партнёрской программы: https://ref.tendik.ru</w:t>
      </w:r>
    </w:p>
    <w:p>
      <w:pPr>
        <w:spacing w:before="0" w:after="0"/>
        <w:ind w:firstLine="709" w:left="0"/>
      </w:pPr>
      <w:r>
        <w:rPr>
          <w:rFonts w:ascii="Times New Roman" w:hAnsi="Times New Roman" w:eastAsia="Times New Roman" w:cs="Times New Roman"/>
          <w:b w:val="0"/>
          <w:sz w:val="24"/>
        </w:rPr>
        <w:t>Банковские реквизиты: указываются в акте.</w:t>
      </w:r>
    </w:p>
    <w:p>
      <w:pPr>
        <w:spacing w:before="0" w:after="0"/>
        <w:ind w:firstLine="709" w:left="0"/>
      </w:pPr>
      <w:r>
        <w:rPr>
          <w:rFonts w:ascii="Times New Roman" w:hAnsi="Times New Roman" w:eastAsia="Times New Roman" w:cs="Times New Roman"/>
          <w:b w:val="0"/>
          <w:sz w:val="24"/>
        </w:rPr>
        <w:t>Генеральный директор Гундырев Максим Алексеевич, действующий на основании типового устава № 21, утверждённого приказом Минэкономразвития России от 01.08.2018 № 411.</w:t>
      </w:r>
    </w:p>
    <w:sectPr w:rsidR="00FC693F" w:rsidRPr="0006063C" w:rsidSect="00034616">
      <w:head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fldSimple w:instr=" PAGE ">
      <w: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партнёрской программы</dc:title>
  <dc:subject/>
  <dc:creator>ООО «ТЕНДИК»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